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A962" w14:textId="77777777" w:rsidR="00B87E53" w:rsidRPr="00242F34" w:rsidRDefault="00B87E53" w:rsidP="00E0173C">
      <w:pPr>
        <w:rPr>
          <w:rFonts w:ascii="Times New Roman" w:hAnsi="Times New Roman" w:cs="Times New Roman"/>
        </w:rPr>
      </w:pPr>
    </w:p>
    <w:p w14:paraId="106E9F5B" w14:textId="77777777" w:rsidR="00B87E53" w:rsidRPr="00242F34" w:rsidRDefault="00B87E53" w:rsidP="00B87E53">
      <w:pPr>
        <w:spacing w:line="360" w:lineRule="auto"/>
        <w:jc w:val="both"/>
        <w:rPr>
          <w:rFonts w:ascii="Times New Roman" w:hAnsi="Times New Roman" w:cs="Times New Roman"/>
        </w:rPr>
      </w:pPr>
      <w:r w:rsidRPr="00242F34">
        <w:rPr>
          <w:rFonts w:ascii="Times New Roman" w:hAnsi="Times New Roman" w:cs="Times New Roman"/>
          <w:b/>
          <w:u w:val="single"/>
        </w:rPr>
        <w:t>Section A: General Information about the Company:</w:t>
      </w:r>
    </w:p>
    <w:p w14:paraId="76002A59" w14:textId="7AC1B26A" w:rsidR="00B83365" w:rsidRPr="00EF61B1" w:rsidRDefault="001A6FD0" w:rsidP="00EF61B1">
      <w:pPr>
        <w:spacing w:after="300" w:line="360" w:lineRule="auto"/>
        <w:jc w:val="both"/>
        <w:textAlignment w:val="baseline"/>
        <w:rPr>
          <w:rFonts w:ascii="Times New Roman" w:hAnsi="Times New Roman" w:cs="Times New Roman"/>
          <w:lang w:eastAsia="en-IN"/>
        </w:rPr>
      </w:pPr>
      <w:r w:rsidRPr="001A6FD0">
        <w:rPr>
          <w:rFonts w:ascii="Times New Roman" w:eastAsia="Times New Roman" w:hAnsi="Times New Roman" w:cs="Times New Roman"/>
          <w:color w:val="333333"/>
          <w:lang w:eastAsia="en-IN"/>
        </w:rPr>
        <w:t>Established in 1985, Diaexports Corporation has, today, representatives in Mumbai, Antwerp, Dubai, Hong Kong and China. Our belief in our employees remains our strongest foundation and has helped us grow to where we are today. Catering to watch manufacturers and jewelry retailers, we microscopically grade every stone to ensure precision. Adjusting to dynamic market conditions, Diaexports remains steadfast on its growth curve. Our ability to deliver what we promise gives our customers not four but Six C’s of satisfaction: Cut, Clarity, Color, Carat, Consistency, and Commitment.</w:t>
      </w:r>
    </w:p>
    <w:p w14:paraId="313EDAC2" w14:textId="54DA6F1E" w:rsidR="00B87E53" w:rsidRPr="00242F34" w:rsidRDefault="00B87E53" w:rsidP="00B87E53">
      <w:pPr>
        <w:spacing w:line="360" w:lineRule="auto"/>
        <w:jc w:val="both"/>
        <w:rPr>
          <w:rFonts w:ascii="Times New Roman" w:hAnsi="Times New Roman" w:cs="Times New Roman"/>
          <w:b/>
          <w:u w:val="single"/>
        </w:rPr>
      </w:pPr>
      <w:r w:rsidRPr="00242F34">
        <w:rPr>
          <w:rFonts w:ascii="Times New Roman" w:hAnsi="Times New Roman" w:cs="Times New Roman"/>
          <w:b/>
          <w:u w:val="single"/>
        </w:rPr>
        <w:t xml:space="preserve">Section B: Financial compliance of the </w:t>
      </w:r>
      <w:r w:rsidR="005E7994">
        <w:rPr>
          <w:rFonts w:ascii="Times New Roman" w:hAnsi="Times New Roman" w:cs="Times New Roman"/>
          <w:b/>
          <w:u w:val="single"/>
        </w:rPr>
        <w:t>DIAEXPORTS CORPORATION</w:t>
      </w:r>
      <w:r w:rsidRPr="00242F34">
        <w:rPr>
          <w:rFonts w:ascii="Times New Roman" w:hAnsi="Times New Roman" w:cs="Times New Roman"/>
          <w:b/>
          <w:u w:val="single"/>
        </w:rPr>
        <w:t>:</w:t>
      </w:r>
    </w:p>
    <w:p w14:paraId="535B13D3"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Money Laundering, Terrorism Financing, Other Financial Offences</w:t>
      </w:r>
    </w:p>
    <w:p w14:paraId="68146D33"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 xml:space="preserve">Current Status </w:t>
      </w:r>
    </w:p>
    <w:p w14:paraId="72AE3EC7"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 recognizes the fact that entities in the gems and jewellery sector have to take on the onus of analysing their potential vulnerabilities to money laundering and implement specific steps that are required for protection against abuse by criminals.</w:t>
      </w:r>
    </w:p>
    <w:p w14:paraId="21AB3ECC" w14:textId="2AE8438A"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Strict compliance is ensured at all the entities and compliance officer has been appointed who in turn reports to </w:t>
      </w:r>
      <w:r w:rsidR="005E7994">
        <w:rPr>
          <w:rFonts w:ascii="Times New Roman" w:eastAsia="Times New Roman" w:hAnsi="Times New Roman" w:cs="Times New Roman"/>
          <w:color w:val="333333"/>
          <w:lang w:eastAsia="en-IN"/>
        </w:rPr>
        <w:t>DIAEXPORTS CORPORATION</w:t>
      </w:r>
      <w:r w:rsidRPr="00242F34">
        <w:rPr>
          <w:rFonts w:ascii="Times New Roman" w:eastAsia="Times New Roman" w:hAnsi="Times New Roman" w:cs="Times New Roman"/>
          <w:color w:val="333333"/>
          <w:lang w:eastAsia="en-IN"/>
        </w:rPr>
        <w:t xml:space="preserve"> Management on compliance status on annual basis.</w:t>
      </w:r>
    </w:p>
    <w:p w14:paraId="4194DE2B" w14:textId="77777777" w:rsidR="00B87E53" w:rsidRPr="00242F34" w:rsidRDefault="00B87E53" w:rsidP="00B87E53">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Know Your Counter Party and other compliance of Due Diligence is followed in line with OECD guidance.</w:t>
      </w:r>
    </w:p>
    <w:p w14:paraId="071BEB18" w14:textId="77777777" w:rsidR="00B87E53" w:rsidRPr="00242F34" w:rsidRDefault="00B87E53" w:rsidP="001A29C0">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Ongoing monitoring is carried out along with all stakeholders.</w:t>
      </w:r>
    </w:p>
    <w:p w14:paraId="5516B888" w14:textId="77777777" w:rsidR="00B87E53" w:rsidRPr="00242F34" w:rsidRDefault="00B87E53" w:rsidP="00B87E53">
      <w:pPr>
        <w:pStyle w:val="ListParagraph"/>
        <w:spacing w:after="100" w:line="360" w:lineRule="auto"/>
        <w:ind w:left="714"/>
        <w:jc w:val="both"/>
        <w:textAlignment w:val="baseline"/>
        <w:rPr>
          <w:rFonts w:ascii="Times New Roman" w:hAnsi="Times New Roman" w:cs="Times New Roman"/>
        </w:rPr>
      </w:pPr>
    </w:p>
    <w:p w14:paraId="63B217D0"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424881AB" w14:textId="77777777" w:rsidR="00B87E53" w:rsidRPr="00242F34" w:rsidRDefault="00B87E53" w:rsidP="000A571F">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Nil As on Date.</w:t>
      </w:r>
    </w:p>
    <w:p w14:paraId="72A367AB"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Kimberley Process and System of Warranties</w:t>
      </w:r>
    </w:p>
    <w:p w14:paraId="01CCF034" w14:textId="11FC84A8"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is fully committed to complying with all the requirements specified in the Kimberley Process Certification Scheme of World Diamond Council’s (WDC) System of Warranties Declaration.</w:t>
      </w:r>
    </w:p>
    <w:p w14:paraId="2E27AFB7"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Day to day monitoring and compliance of SOW is done by compliance officer.</w:t>
      </w:r>
    </w:p>
    <w:p w14:paraId="438CDB7F" w14:textId="1AABED50"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lastRenderedPageBreak/>
        <w:t>DIAEXPORTS CORPORATION</w:t>
      </w:r>
      <w:r w:rsidR="00B87E53" w:rsidRPr="00242F34">
        <w:rPr>
          <w:rFonts w:ascii="Times New Roman" w:eastAsia="Times New Roman" w:hAnsi="Times New Roman" w:cs="Times New Roman"/>
          <w:color w:val="333333"/>
          <w:lang w:eastAsia="en-IN"/>
        </w:rPr>
        <w:t xml:space="preserve"> is committed towards conflict free sourcing and zero tolerance policy is followed at </w:t>
      </w: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level.</w:t>
      </w:r>
    </w:p>
    <w:p w14:paraId="0DCD63B8"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1B772F63" w14:textId="77777777" w:rsidR="00B87E53" w:rsidRPr="00242F34" w:rsidRDefault="00B87E53" w:rsidP="000A571F">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Nil As on Date.</w:t>
      </w:r>
    </w:p>
    <w:p w14:paraId="46619C84" w14:textId="77777777" w:rsidR="00B87E53" w:rsidRPr="00242F34" w:rsidRDefault="00B87E53" w:rsidP="00B87E53">
      <w:pPr>
        <w:pStyle w:val="ListParagraph"/>
        <w:spacing w:after="100" w:line="360" w:lineRule="auto"/>
        <w:ind w:left="714"/>
        <w:jc w:val="both"/>
        <w:textAlignment w:val="baseline"/>
        <w:rPr>
          <w:rFonts w:ascii="Times New Roman" w:hAnsi="Times New Roman" w:cs="Times New Roman"/>
        </w:rPr>
      </w:pPr>
    </w:p>
    <w:p w14:paraId="29BE4C98"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Anti-Bribery and Facilitation Payment Policy:</w:t>
      </w:r>
    </w:p>
    <w:p w14:paraId="048D387E" w14:textId="51182ED2"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The </w:t>
      </w:r>
      <w:r w:rsidR="005E7994">
        <w:rPr>
          <w:rFonts w:ascii="Times New Roman" w:eastAsia="Times New Roman" w:hAnsi="Times New Roman" w:cs="Times New Roman"/>
          <w:color w:val="333333"/>
          <w:lang w:eastAsia="en-IN"/>
        </w:rPr>
        <w:t>DIAEXPORTS CORPORATION</w:t>
      </w:r>
      <w:r w:rsidRPr="00242F34">
        <w:rPr>
          <w:rFonts w:ascii="Times New Roman" w:eastAsia="Times New Roman" w:hAnsi="Times New Roman" w:cs="Times New Roman"/>
          <w:color w:val="333333"/>
          <w:lang w:eastAsia="en-IN"/>
        </w:rPr>
        <w:t xml:space="preserve"> shall ensure complete prohibition Bribery and facilitation payment across organization and in all the entities.</w:t>
      </w:r>
    </w:p>
    <w:p w14:paraId="38BCE203" w14:textId="64B73DC4" w:rsidR="00B87E53" w:rsidRPr="00242F34" w:rsidRDefault="005E7994" w:rsidP="00B87E53">
      <w:pPr>
        <w:pStyle w:val="ListParagraph"/>
        <w:numPr>
          <w:ilvl w:val="0"/>
          <w:numId w:val="17"/>
        </w:numPr>
        <w:spacing w:after="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has published compliance team contact details on website to receive any grievance or complaints. </w:t>
      </w:r>
    </w:p>
    <w:p w14:paraId="41375552" w14:textId="77777777" w:rsidR="00B87E53" w:rsidRPr="00242F34" w:rsidRDefault="00B87E53" w:rsidP="00B87E53">
      <w:pPr>
        <w:pStyle w:val="ListParagraph"/>
        <w:spacing w:after="0" w:line="360" w:lineRule="auto"/>
        <w:jc w:val="both"/>
        <w:textAlignment w:val="baseline"/>
        <w:rPr>
          <w:rFonts w:ascii="Times New Roman" w:eastAsia="Times New Roman" w:hAnsi="Times New Roman" w:cs="Times New Roman"/>
          <w:color w:val="333333"/>
          <w:lang w:eastAsia="en-IN"/>
        </w:rPr>
      </w:pPr>
    </w:p>
    <w:p w14:paraId="02D10887"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2840DF70" w14:textId="77777777" w:rsidR="00B87E53" w:rsidRPr="00242F34" w:rsidRDefault="00B87E53" w:rsidP="00B87E53">
      <w:pPr>
        <w:pStyle w:val="ListParagraph"/>
        <w:numPr>
          <w:ilvl w:val="0"/>
          <w:numId w:val="17"/>
        </w:numPr>
        <w:spacing w:after="0" w:line="360" w:lineRule="auto"/>
        <w:ind w:left="709" w:hanging="357"/>
        <w:jc w:val="both"/>
        <w:textAlignment w:val="baseline"/>
        <w:rPr>
          <w:rFonts w:ascii="Times New Roman" w:hAnsi="Times New Roman" w:cs="Times New Roman"/>
          <w:b/>
          <w:bCs/>
        </w:rPr>
      </w:pPr>
      <w:r w:rsidRPr="00242F34">
        <w:rPr>
          <w:rFonts w:ascii="Times New Roman" w:eastAsia="Times New Roman" w:hAnsi="Times New Roman" w:cs="Times New Roman"/>
          <w:color w:val="333333"/>
          <w:lang w:eastAsia="en-IN"/>
        </w:rPr>
        <w:t>Nil As on Date.</w:t>
      </w:r>
    </w:p>
    <w:p w14:paraId="5BC88E99" w14:textId="77777777" w:rsidR="00B87E53" w:rsidRPr="00242F34" w:rsidRDefault="00B87E53" w:rsidP="00B87E53">
      <w:pPr>
        <w:numPr>
          <w:ilvl w:val="1"/>
          <w:numId w:val="15"/>
        </w:numPr>
        <w:tabs>
          <w:tab w:val="clear" w:pos="360"/>
        </w:tabs>
        <w:spacing w:after="0" w:line="360" w:lineRule="auto"/>
        <w:ind w:left="709" w:hanging="709"/>
        <w:jc w:val="both"/>
        <w:rPr>
          <w:rFonts w:ascii="Times New Roman" w:hAnsi="Times New Roman" w:cs="Times New Roman"/>
          <w:b/>
          <w:bCs/>
        </w:rPr>
      </w:pPr>
      <w:r w:rsidRPr="00242F34">
        <w:rPr>
          <w:rFonts w:ascii="Times New Roman" w:hAnsi="Times New Roman" w:cs="Times New Roman"/>
          <w:b/>
          <w:bCs/>
        </w:rPr>
        <w:t>Ethical Sourcing of Loose Diamonds Policy:</w:t>
      </w:r>
    </w:p>
    <w:p w14:paraId="38137C4B"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Our company is concerned about the environment and social impacts of irresponsible mining.</w:t>
      </w:r>
    </w:p>
    <w:p w14:paraId="5E94149F" w14:textId="1CEB4FDC"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has identified the risk of supply chain with respect to Conflict Affected High Risk Area.</w:t>
      </w:r>
    </w:p>
    <w:p w14:paraId="71E80D9F" w14:textId="23F220A8"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ensure all its supplies are screened for conflict free supplies.</w:t>
      </w:r>
    </w:p>
    <w:p w14:paraId="6E5F823F" w14:textId="77777777" w:rsidR="00B87E53" w:rsidRPr="00242F34" w:rsidRDefault="00B87E53" w:rsidP="000A571F">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We have published the OECD based ethical sourcing policy and we are communicating our policies to all the supply chain partners and pushing them to adopt the same. </w:t>
      </w:r>
    </w:p>
    <w:p w14:paraId="6114A3E5"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6FE06F84"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Current concern is lack of awareness about OECD regulation and requirements of sourcing.</w:t>
      </w:r>
    </w:p>
    <w:p w14:paraId="1023074D"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We have started creating awareness about our Ethical sourcing requirements for our supply chain.</w:t>
      </w:r>
    </w:p>
    <w:p w14:paraId="2ADBE1A0" w14:textId="77777777" w:rsidR="00B87E53" w:rsidRPr="00242F34" w:rsidRDefault="00B87E53" w:rsidP="00B87E53">
      <w:pPr>
        <w:pStyle w:val="ListParagraph"/>
        <w:numPr>
          <w:ilvl w:val="0"/>
          <w:numId w:val="17"/>
        </w:numPr>
        <w:spacing w:after="120" w:line="360" w:lineRule="auto"/>
        <w:jc w:val="both"/>
        <w:textAlignment w:val="baseline"/>
        <w:rPr>
          <w:rFonts w:ascii="Times New Roman" w:hAnsi="Times New Roman" w:cs="Times New Roman"/>
          <w:bCs/>
        </w:rPr>
      </w:pPr>
      <w:r w:rsidRPr="00242F34">
        <w:rPr>
          <w:rFonts w:ascii="Times New Roman" w:eastAsia="Times New Roman" w:hAnsi="Times New Roman" w:cs="Times New Roman"/>
          <w:color w:val="333333"/>
          <w:lang w:eastAsia="en-IN"/>
        </w:rPr>
        <w:t xml:space="preserve">We started Engagement with our global supply chain for obtaining the further supply chain information to ensure ethical and conflict free sourcing in metal business. </w:t>
      </w:r>
    </w:p>
    <w:p w14:paraId="506B89FF"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 xml:space="preserve">Social Compliance </w:t>
      </w:r>
    </w:p>
    <w:p w14:paraId="4899D16E"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We ensure full compliance with all applicable national and, where appropriate, international laws / regulations with respect to employment and labour codes in all our establishment.</w:t>
      </w:r>
    </w:p>
    <w:p w14:paraId="500441FA" w14:textId="77777777" w:rsidR="00B87E53" w:rsidRPr="00242F34" w:rsidRDefault="00B87E53" w:rsidP="00B87E53">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We respect all regulation for child labour, forced labour, non-discrimination, non-retaliation etc.</w:t>
      </w:r>
    </w:p>
    <w:p w14:paraId="4E63E591" w14:textId="77777777" w:rsidR="00B87E53" w:rsidRPr="00242F34" w:rsidRDefault="00B87E53" w:rsidP="00A96EA8">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lastRenderedPageBreak/>
        <w:t>All work man rights are respected and adhere to freedom of association and collective bargaining regulations.</w:t>
      </w:r>
    </w:p>
    <w:p w14:paraId="696ACC08" w14:textId="77777777" w:rsidR="00B87E53" w:rsidRPr="00242F34" w:rsidRDefault="00B87E53" w:rsidP="00B87E53">
      <w:pPr>
        <w:pStyle w:val="ListParagraph"/>
        <w:spacing w:after="100" w:line="360" w:lineRule="auto"/>
        <w:ind w:left="714"/>
        <w:jc w:val="both"/>
        <w:textAlignment w:val="baseline"/>
        <w:rPr>
          <w:rFonts w:ascii="Times New Roman" w:hAnsi="Times New Roman" w:cs="Times New Roman"/>
        </w:rPr>
      </w:pPr>
    </w:p>
    <w:p w14:paraId="41223F60"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59E61200" w14:textId="2712124F" w:rsidR="00B87E53" w:rsidRPr="00A96EA8" w:rsidRDefault="00B87E53" w:rsidP="00A96EA8">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No point has been reported in the social compliance of the </w:t>
      </w:r>
      <w:r w:rsidR="005E7994">
        <w:rPr>
          <w:rFonts w:ascii="Times New Roman" w:eastAsia="Times New Roman" w:hAnsi="Times New Roman" w:cs="Times New Roman"/>
          <w:color w:val="333333"/>
          <w:lang w:eastAsia="en-IN"/>
        </w:rPr>
        <w:t>DIAEXPORTS CORPORATION</w:t>
      </w:r>
      <w:r w:rsidRPr="00242F34">
        <w:rPr>
          <w:rFonts w:ascii="Times New Roman" w:eastAsia="Times New Roman" w:hAnsi="Times New Roman" w:cs="Times New Roman"/>
          <w:color w:val="333333"/>
          <w:lang w:eastAsia="en-IN"/>
        </w:rPr>
        <w:t xml:space="preserve"> where remedial measures at </w:t>
      </w:r>
      <w:r w:rsidR="005E7994">
        <w:rPr>
          <w:rFonts w:ascii="Times New Roman" w:eastAsia="Times New Roman" w:hAnsi="Times New Roman" w:cs="Times New Roman"/>
          <w:color w:val="333333"/>
          <w:lang w:eastAsia="en-IN"/>
        </w:rPr>
        <w:t>DIAEXPORTS CORPORATION</w:t>
      </w:r>
      <w:r w:rsidRPr="00242F34">
        <w:rPr>
          <w:rFonts w:ascii="Times New Roman" w:eastAsia="Times New Roman" w:hAnsi="Times New Roman" w:cs="Times New Roman"/>
          <w:color w:val="333333"/>
          <w:lang w:eastAsia="en-IN"/>
        </w:rPr>
        <w:t xml:space="preserve"> level is required.</w:t>
      </w:r>
    </w:p>
    <w:p w14:paraId="6A4D78D1" w14:textId="2F647108" w:rsidR="00B87E53" w:rsidRPr="00242F34" w:rsidRDefault="00697C14" w:rsidP="00A96EA8">
      <w:pPr>
        <w:pStyle w:val="ListParagraph"/>
        <w:numPr>
          <w:ilvl w:val="0"/>
          <w:numId w:val="17"/>
        </w:numPr>
        <w:spacing w:after="300" w:line="360" w:lineRule="auto"/>
        <w:jc w:val="both"/>
        <w:textAlignment w:val="baseline"/>
        <w:rPr>
          <w:rFonts w:ascii="Times New Roman" w:hAnsi="Times New Roman" w:cs="Times New Roman"/>
          <w:b/>
          <w:bCs/>
        </w:rPr>
      </w:pPr>
      <w:r>
        <w:rPr>
          <w:rFonts w:ascii="Times New Roman" w:eastAsia="Times New Roman" w:hAnsi="Times New Roman" w:cs="Times New Roman"/>
          <w:color w:val="333333"/>
          <w:lang w:eastAsia="en-IN"/>
        </w:rPr>
        <w:t>Company</w:t>
      </w:r>
      <w:r w:rsidR="00B87E53" w:rsidRPr="00242F34">
        <w:rPr>
          <w:rFonts w:ascii="Times New Roman" w:eastAsia="Times New Roman" w:hAnsi="Times New Roman" w:cs="Times New Roman"/>
          <w:color w:val="333333"/>
          <w:lang w:eastAsia="en-IN"/>
        </w:rPr>
        <w:t xml:space="preserve"> level remedial measures are taken based on internal and external audits conducted by reputed agencies.</w:t>
      </w:r>
    </w:p>
    <w:p w14:paraId="3CBA7D12"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 xml:space="preserve">Health and Safety </w:t>
      </w:r>
    </w:p>
    <w:p w14:paraId="595CDF93" w14:textId="0CAE5499"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We at </w:t>
      </w:r>
      <w:r w:rsidR="005E7994">
        <w:rPr>
          <w:rFonts w:ascii="Times New Roman" w:eastAsia="Times New Roman" w:hAnsi="Times New Roman" w:cs="Times New Roman"/>
          <w:color w:val="333333"/>
          <w:lang w:eastAsia="en-IN"/>
        </w:rPr>
        <w:t>DIAEXPORTS CORPORATION</w:t>
      </w:r>
      <w:r w:rsidRPr="00242F34">
        <w:rPr>
          <w:rFonts w:ascii="Times New Roman" w:eastAsia="Times New Roman" w:hAnsi="Times New Roman" w:cs="Times New Roman"/>
          <w:color w:val="333333"/>
          <w:lang w:eastAsia="en-IN"/>
        </w:rPr>
        <w:t xml:space="preserve"> are concern about the health and safety of employees and are constantly studding about any adverse impact of our business processes are identified and eliminated. Towards this end, we will systematically review our operations to identify sources of health and safety related risks.</w:t>
      </w:r>
    </w:p>
    <w:p w14:paraId="5AF9E18B"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This review will use appropriate standards as required by prevailing laws, expert opinion, and our knowledge of best practices.</w:t>
      </w:r>
    </w:p>
    <w:p w14:paraId="3F4E74DA"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All our staff will be trained in the manner required to adhere to these work practices and drills.</w:t>
      </w:r>
    </w:p>
    <w:p w14:paraId="3FE5A37D"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The health of our staff, exposed to certain hazardous processes, is be monitored periodically through appropriate medical checks, and reviewed using expert inputs for improvements.</w:t>
      </w:r>
    </w:p>
    <w:p w14:paraId="67BDD982"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All workplaces are constructed to meet safety standards with local regulations as the minimum standards that will be applicable.</w:t>
      </w:r>
    </w:p>
    <w:p w14:paraId="794E4E07"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4C1461C5"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Nil as on date, as no accidents are reported in last one year.</w:t>
      </w:r>
    </w:p>
    <w:p w14:paraId="44F7ACE4" w14:textId="77777777" w:rsidR="00B87E53" w:rsidRPr="00242F34" w:rsidRDefault="00B87E53" w:rsidP="00B87E53">
      <w:pPr>
        <w:pStyle w:val="ListParagraph"/>
        <w:numPr>
          <w:ilvl w:val="0"/>
          <w:numId w:val="17"/>
        </w:numPr>
        <w:spacing w:after="300" w:line="360" w:lineRule="auto"/>
        <w:jc w:val="both"/>
        <w:textAlignment w:val="baseline"/>
        <w:rPr>
          <w:rStyle w:val="goohl0"/>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Organization has been blessed and we did not have any fire or any other incidents leading to dangerous circumstances. </w:t>
      </w:r>
    </w:p>
    <w:p w14:paraId="6CB07700"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Human Rights</w:t>
      </w:r>
    </w:p>
    <w:p w14:paraId="48D2227A" w14:textId="1523C9A0"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is not and will not interfere in the right of employees to observe tenets or practices based on caste, race, national origin, gender, religion, disability, union membership, or political affiliation.</w:t>
      </w:r>
    </w:p>
    <w:p w14:paraId="40817651"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lastRenderedPageBreak/>
        <w:t xml:space="preserve">The Company strongly discourages any form of sexually coercive, threatening, abusive or exploitative behaviour. </w:t>
      </w:r>
    </w:p>
    <w:p w14:paraId="41A4CCA7"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 xml:space="preserve">Any reported incidents relating to direct or indirect physical, sexual, racial, religious, psychological, verbal, or any other form of harassment or abuse, or any other form of intimidation or degrading treatment will not be tolerated by the company. </w:t>
      </w:r>
    </w:p>
    <w:p w14:paraId="6A4C0A97" w14:textId="65E48121"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ensures that none of its suppliers and stake holder have engaged in any activity which can violate the Human Right Principles.</w:t>
      </w:r>
    </w:p>
    <w:p w14:paraId="023F4097" w14:textId="77777777" w:rsidR="00B87E53" w:rsidRPr="00242F34" w:rsidRDefault="00B87E53" w:rsidP="00A96EA8">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We have carried out the Human Right Due Diligence of suppliers and other Stake holders &amp; based on risk assessment where necessary.</w:t>
      </w:r>
    </w:p>
    <w:p w14:paraId="6A1FA042"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5A540334"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No Area of concern &amp; Remedial Measures has been raised in the Human right for any of our operating units.</w:t>
      </w:r>
    </w:p>
    <w:p w14:paraId="640BCC10" w14:textId="77777777" w:rsidR="00B87E53" w:rsidRPr="00242F34" w:rsidRDefault="00B87E53"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t>Supplier’s further upstream compliance with respect to Human Right compliance for conflict free sourcing is a new development, where company is heading and would require more focus on the same.</w:t>
      </w:r>
    </w:p>
    <w:p w14:paraId="2C1F2DDD" w14:textId="77777777" w:rsidR="00B87E53" w:rsidRPr="00242F34" w:rsidRDefault="00B87E53" w:rsidP="00B87E53">
      <w:pPr>
        <w:numPr>
          <w:ilvl w:val="1"/>
          <w:numId w:val="15"/>
        </w:numPr>
        <w:spacing w:after="0" w:line="360" w:lineRule="auto"/>
        <w:jc w:val="both"/>
        <w:rPr>
          <w:rFonts w:ascii="Times New Roman" w:hAnsi="Times New Roman" w:cs="Times New Roman"/>
          <w:b/>
          <w:bCs/>
        </w:rPr>
      </w:pPr>
      <w:r w:rsidRPr="00242F34">
        <w:rPr>
          <w:rFonts w:ascii="Times New Roman" w:hAnsi="Times New Roman" w:cs="Times New Roman"/>
          <w:b/>
          <w:bCs/>
        </w:rPr>
        <w:t>Environment Protection</w:t>
      </w:r>
    </w:p>
    <w:p w14:paraId="432F4A75" w14:textId="0CEC1F52" w:rsidR="00B87E53" w:rsidRPr="00242F34" w:rsidRDefault="005E7994" w:rsidP="00B87E53">
      <w:pPr>
        <w:pStyle w:val="ListParagraph"/>
        <w:numPr>
          <w:ilvl w:val="0"/>
          <w:numId w:val="17"/>
        </w:numPr>
        <w:spacing w:after="300" w:line="360" w:lineRule="auto"/>
        <w:jc w:val="both"/>
        <w:textAlignment w:val="baseline"/>
        <w:rPr>
          <w:rFonts w:ascii="Times New Roman" w:eastAsia="Times New Roman" w:hAnsi="Times New Roman" w:cs="Times New Roman"/>
          <w:color w:val="333333"/>
          <w:lang w:eastAsia="en-IN"/>
        </w:rPr>
      </w:pPr>
      <w:r>
        <w:rPr>
          <w:rFonts w:ascii="Times New Roman" w:eastAsia="Times New Roman" w:hAnsi="Times New Roman" w:cs="Times New Roman"/>
          <w:color w:val="333333"/>
          <w:lang w:eastAsia="en-IN"/>
        </w:rPr>
        <w:t>DIAEXPORTS CORPORATION</w:t>
      </w:r>
      <w:r w:rsidR="00B87E53" w:rsidRPr="00242F34">
        <w:rPr>
          <w:rFonts w:ascii="Times New Roman" w:eastAsia="Times New Roman" w:hAnsi="Times New Roman" w:cs="Times New Roman"/>
          <w:color w:val="333333"/>
          <w:lang w:eastAsia="en-IN"/>
        </w:rPr>
        <w:t xml:space="preserve"> is Complying with all applicable environmental laws and regulations.</w:t>
      </w:r>
    </w:p>
    <w:p w14:paraId="084835D0" w14:textId="77777777" w:rsidR="00B87E53" w:rsidRPr="00242F34" w:rsidRDefault="00B87E53" w:rsidP="00B87E53">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Improvement is seen employee’s environmental awareness and performance with the help of detailed policies and procedures, training, and recognition of excellence.</w:t>
      </w:r>
    </w:p>
    <w:p w14:paraId="55450EBB" w14:textId="77777777" w:rsidR="00B87E53" w:rsidRPr="00242F34" w:rsidRDefault="00B87E53" w:rsidP="00B87E53">
      <w:pPr>
        <w:spacing w:after="0" w:line="360" w:lineRule="auto"/>
        <w:ind w:left="360"/>
        <w:jc w:val="both"/>
        <w:rPr>
          <w:rFonts w:ascii="Times New Roman" w:hAnsi="Times New Roman" w:cs="Times New Roman"/>
          <w:b/>
          <w:bCs/>
        </w:rPr>
      </w:pPr>
      <w:r w:rsidRPr="00242F34">
        <w:rPr>
          <w:rFonts w:ascii="Times New Roman" w:hAnsi="Times New Roman" w:cs="Times New Roman"/>
          <w:b/>
          <w:bCs/>
        </w:rPr>
        <w:t>Area of concern &amp; Remedial Measures</w:t>
      </w:r>
    </w:p>
    <w:p w14:paraId="5552EF2E" w14:textId="77777777" w:rsidR="00B87E53" w:rsidRPr="00242F34" w:rsidRDefault="00B87E53" w:rsidP="00B87E53">
      <w:pPr>
        <w:pStyle w:val="ListParagraph"/>
        <w:numPr>
          <w:ilvl w:val="0"/>
          <w:numId w:val="17"/>
        </w:numPr>
        <w:spacing w:after="300" w:line="360" w:lineRule="auto"/>
        <w:jc w:val="both"/>
        <w:textAlignment w:val="baseline"/>
        <w:rPr>
          <w:rFonts w:ascii="Times New Roman" w:hAnsi="Times New Roman" w:cs="Times New Roman"/>
        </w:rPr>
      </w:pPr>
      <w:r w:rsidRPr="00242F34">
        <w:rPr>
          <w:rFonts w:ascii="Times New Roman" w:eastAsia="Times New Roman" w:hAnsi="Times New Roman" w:cs="Times New Roman"/>
          <w:color w:val="333333"/>
          <w:lang w:eastAsia="en-IN"/>
        </w:rPr>
        <w:t>Nil, mainly Sales office and no manufacturing activity.</w:t>
      </w:r>
    </w:p>
    <w:p w14:paraId="69AE89FB" w14:textId="77777777" w:rsidR="00B87E53" w:rsidRPr="00242F34" w:rsidRDefault="00B87E53" w:rsidP="00B87E53">
      <w:pPr>
        <w:rPr>
          <w:rFonts w:ascii="Times New Roman" w:eastAsia="Times New Roman" w:hAnsi="Times New Roman" w:cs="Times New Roman"/>
          <w:color w:val="333333"/>
          <w:lang w:eastAsia="en-IN"/>
        </w:rPr>
      </w:pPr>
      <w:r w:rsidRPr="00242F34">
        <w:rPr>
          <w:rFonts w:ascii="Times New Roman" w:eastAsia="Times New Roman" w:hAnsi="Times New Roman" w:cs="Times New Roman"/>
          <w:color w:val="333333"/>
          <w:lang w:eastAsia="en-IN"/>
        </w:rPr>
        <w:br w:type="page"/>
      </w:r>
    </w:p>
    <w:tbl>
      <w:tblPr>
        <w:tblStyle w:val="TableGrid"/>
        <w:tblW w:w="0" w:type="auto"/>
        <w:tblInd w:w="392" w:type="dxa"/>
        <w:tblLayout w:type="fixed"/>
        <w:tblLook w:val="04A0" w:firstRow="1" w:lastRow="0" w:firstColumn="1" w:lastColumn="0" w:noHBand="0" w:noVBand="1"/>
      </w:tblPr>
      <w:tblGrid>
        <w:gridCol w:w="2410"/>
        <w:gridCol w:w="1842"/>
        <w:gridCol w:w="4598"/>
      </w:tblGrid>
      <w:tr w:rsidR="00B87E53" w:rsidRPr="00242F34" w14:paraId="08C526A1" w14:textId="77777777" w:rsidTr="005B451A">
        <w:tc>
          <w:tcPr>
            <w:tcW w:w="8850" w:type="dxa"/>
            <w:gridSpan w:val="3"/>
            <w:shd w:val="clear" w:color="auto" w:fill="8496B0" w:themeFill="text2" w:themeFillTint="99"/>
          </w:tcPr>
          <w:p w14:paraId="67F04CF4" w14:textId="77777777" w:rsidR="00B87E53" w:rsidRPr="00242F34" w:rsidRDefault="00B87E53" w:rsidP="005B451A">
            <w:pPr>
              <w:spacing w:before="80" w:after="40" w:line="360" w:lineRule="auto"/>
              <w:jc w:val="center"/>
              <w:rPr>
                <w:rFonts w:ascii="Times New Roman" w:hAnsi="Times New Roman" w:cs="Times New Roman"/>
              </w:rPr>
            </w:pPr>
            <w:r w:rsidRPr="00242F34">
              <w:rPr>
                <w:rFonts w:ascii="Times New Roman" w:eastAsia="Times New Roman" w:hAnsi="Times New Roman" w:cs="Times New Roman"/>
                <w:color w:val="333333"/>
                <w:lang w:eastAsia="en-IN"/>
              </w:rPr>
              <w:lastRenderedPageBreak/>
              <w:br w:type="page"/>
            </w:r>
            <w:r w:rsidRPr="00242F34">
              <w:rPr>
                <w:rFonts w:ascii="Times New Roman" w:hAnsi="Times New Roman" w:cs="Times New Roman"/>
              </w:rPr>
              <w:t>ANNUAL REPORTING TEMPLATE (RJC TOOL KIT VERSION 5.0)</w:t>
            </w:r>
          </w:p>
        </w:tc>
      </w:tr>
      <w:tr w:rsidR="00B87E53" w:rsidRPr="00242F34" w14:paraId="1159DAFE" w14:textId="77777777" w:rsidTr="005B451A">
        <w:tc>
          <w:tcPr>
            <w:tcW w:w="2410" w:type="dxa"/>
          </w:tcPr>
          <w:p w14:paraId="0E6796E1" w14:textId="77777777" w:rsidR="00B87E53" w:rsidRPr="00242F34" w:rsidRDefault="00B87E53" w:rsidP="005B451A">
            <w:pPr>
              <w:spacing w:line="360" w:lineRule="auto"/>
              <w:jc w:val="both"/>
              <w:rPr>
                <w:rFonts w:ascii="Times New Roman" w:hAnsi="Times New Roman" w:cs="Times New Roman"/>
              </w:rPr>
            </w:pPr>
            <w:r w:rsidRPr="00242F34">
              <w:rPr>
                <w:rFonts w:ascii="Times New Roman" w:hAnsi="Times New Roman" w:cs="Times New Roman"/>
                <w:b/>
                <w:w w:val="110"/>
              </w:rPr>
              <w:t>Company Name:</w:t>
            </w:r>
          </w:p>
        </w:tc>
        <w:tc>
          <w:tcPr>
            <w:tcW w:w="6440" w:type="dxa"/>
            <w:gridSpan w:val="2"/>
          </w:tcPr>
          <w:p w14:paraId="3713E58B" w14:textId="4405AB19" w:rsidR="00B87E53" w:rsidRPr="00242F34" w:rsidRDefault="005E7994" w:rsidP="005B451A">
            <w:pPr>
              <w:spacing w:line="360" w:lineRule="auto"/>
              <w:jc w:val="both"/>
              <w:rPr>
                <w:rFonts w:ascii="Times New Roman" w:hAnsi="Times New Roman" w:cs="Times New Roman"/>
              </w:rPr>
            </w:pPr>
            <w:r>
              <w:rPr>
                <w:rFonts w:ascii="Times New Roman" w:hAnsi="Times New Roman" w:cs="Times New Roman"/>
                <w:color w:val="000000"/>
              </w:rPr>
              <w:t>DIAEXPORTS CORPORATION</w:t>
            </w:r>
          </w:p>
        </w:tc>
      </w:tr>
      <w:tr w:rsidR="00B87E53" w:rsidRPr="00242F34" w14:paraId="40019C85" w14:textId="77777777" w:rsidTr="005B451A">
        <w:tc>
          <w:tcPr>
            <w:tcW w:w="2410" w:type="dxa"/>
          </w:tcPr>
          <w:p w14:paraId="3F32FF6A" w14:textId="77777777" w:rsidR="00B87E53" w:rsidRPr="00242F34" w:rsidRDefault="00B87E53" w:rsidP="005B451A">
            <w:pPr>
              <w:spacing w:line="360" w:lineRule="auto"/>
              <w:jc w:val="both"/>
              <w:rPr>
                <w:rFonts w:ascii="Times New Roman" w:hAnsi="Times New Roman" w:cs="Times New Roman"/>
                <w:b/>
              </w:rPr>
            </w:pPr>
            <w:r w:rsidRPr="00242F34">
              <w:rPr>
                <w:rFonts w:ascii="Times New Roman" w:hAnsi="Times New Roman" w:cs="Times New Roman"/>
                <w:b/>
              </w:rPr>
              <w:t>Date:</w:t>
            </w:r>
          </w:p>
        </w:tc>
        <w:tc>
          <w:tcPr>
            <w:tcW w:w="6440" w:type="dxa"/>
            <w:gridSpan w:val="2"/>
          </w:tcPr>
          <w:p w14:paraId="227D67BE" w14:textId="0BF76372" w:rsidR="00B87E53" w:rsidRPr="00242F34" w:rsidRDefault="00AC2F7F" w:rsidP="005B451A">
            <w:pPr>
              <w:spacing w:line="360" w:lineRule="auto"/>
              <w:jc w:val="both"/>
              <w:rPr>
                <w:rFonts w:ascii="Times New Roman" w:hAnsi="Times New Roman" w:cs="Times New Roman"/>
              </w:rPr>
            </w:pPr>
            <w:r>
              <w:rPr>
                <w:rFonts w:ascii="Times New Roman" w:hAnsi="Times New Roman" w:cs="Times New Roman"/>
              </w:rPr>
              <w:t>22</w:t>
            </w:r>
            <w:r w:rsidRPr="00AC2F7F">
              <w:rPr>
                <w:rFonts w:ascii="Times New Roman" w:hAnsi="Times New Roman" w:cs="Times New Roman"/>
                <w:vertAlign w:val="superscript"/>
              </w:rPr>
              <w:t>nd</w:t>
            </w:r>
            <w:r>
              <w:rPr>
                <w:rFonts w:ascii="Times New Roman" w:hAnsi="Times New Roman" w:cs="Times New Roman"/>
              </w:rPr>
              <w:t xml:space="preserve"> </w:t>
            </w:r>
            <w:r w:rsidR="006456BB">
              <w:rPr>
                <w:rFonts w:ascii="Times New Roman" w:hAnsi="Times New Roman" w:cs="Times New Roman"/>
              </w:rPr>
              <w:t>August</w:t>
            </w:r>
            <w:r>
              <w:rPr>
                <w:rFonts w:ascii="Times New Roman" w:hAnsi="Times New Roman" w:cs="Times New Roman"/>
              </w:rPr>
              <w:t xml:space="preserve"> 2025</w:t>
            </w:r>
          </w:p>
        </w:tc>
      </w:tr>
      <w:tr w:rsidR="00B87E53" w:rsidRPr="00242F34" w14:paraId="100A2EB0" w14:textId="77777777" w:rsidTr="005B451A">
        <w:tc>
          <w:tcPr>
            <w:tcW w:w="2410" w:type="dxa"/>
          </w:tcPr>
          <w:p w14:paraId="18DE7282" w14:textId="77777777" w:rsidR="00B87E53" w:rsidRPr="00242F34" w:rsidRDefault="00B87E53" w:rsidP="005B451A">
            <w:pPr>
              <w:spacing w:line="360" w:lineRule="auto"/>
              <w:jc w:val="both"/>
              <w:rPr>
                <w:rFonts w:ascii="Times New Roman" w:hAnsi="Times New Roman" w:cs="Times New Roman"/>
                <w:b/>
              </w:rPr>
            </w:pPr>
            <w:r w:rsidRPr="00242F34">
              <w:rPr>
                <w:rFonts w:ascii="Times New Roman" w:hAnsi="Times New Roman" w:cs="Times New Roman"/>
                <w:b/>
              </w:rPr>
              <w:t>Reporting Period :</w:t>
            </w:r>
          </w:p>
        </w:tc>
        <w:tc>
          <w:tcPr>
            <w:tcW w:w="6440" w:type="dxa"/>
            <w:gridSpan w:val="2"/>
          </w:tcPr>
          <w:p w14:paraId="28DBB70D" w14:textId="38C5D08E" w:rsidR="00B87E53" w:rsidRPr="00242F34" w:rsidRDefault="00AC2F7F" w:rsidP="005B451A">
            <w:pPr>
              <w:spacing w:line="360" w:lineRule="auto"/>
              <w:jc w:val="both"/>
              <w:rPr>
                <w:rFonts w:ascii="Times New Roman" w:hAnsi="Times New Roman" w:cs="Times New Roman"/>
              </w:rPr>
            </w:pPr>
            <w:r>
              <w:rPr>
                <w:rFonts w:ascii="Times New Roman" w:hAnsi="Times New Roman" w:cs="Times New Roman"/>
              </w:rPr>
              <w:t>2024-25</w:t>
            </w:r>
          </w:p>
        </w:tc>
      </w:tr>
      <w:tr w:rsidR="00B87E53" w:rsidRPr="00242F34" w14:paraId="35DAB93D" w14:textId="77777777" w:rsidTr="005B451A">
        <w:tc>
          <w:tcPr>
            <w:tcW w:w="8850" w:type="dxa"/>
            <w:gridSpan w:val="3"/>
            <w:shd w:val="clear" w:color="auto" w:fill="8496B0" w:themeFill="text2" w:themeFillTint="99"/>
          </w:tcPr>
          <w:p w14:paraId="71ADDBEB" w14:textId="77777777" w:rsidR="00B87E53" w:rsidRPr="00242F34" w:rsidRDefault="00B87E53" w:rsidP="005B451A">
            <w:pPr>
              <w:spacing w:before="75" w:line="360" w:lineRule="auto"/>
              <w:jc w:val="both"/>
              <w:rPr>
                <w:rFonts w:ascii="Times New Roman" w:hAnsi="Times New Roman" w:cs="Times New Roman"/>
              </w:rPr>
            </w:pPr>
            <w:r w:rsidRPr="00242F34">
              <w:rPr>
                <w:rFonts w:ascii="Times New Roman" w:hAnsi="Times New Roman" w:cs="Times New Roman"/>
              </w:rPr>
              <w:t>Step 1: Establish strong company management systems</w:t>
            </w:r>
          </w:p>
        </w:tc>
      </w:tr>
      <w:tr w:rsidR="00B87E53" w:rsidRPr="00242F34" w14:paraId="2025F95F" w14:textId="77777777" w:rsidTr="005B451A">
        <w:tc>
          <w:tcPr>
            <w:tcW w:w="4252" w:type="dxa"/>
            <w:gridSpan w:val="2"/>
          </w:tcPr>
          <w:p w14:paraId="23011E2C" w14:textId="77777777" w:rsidR="00B87E53" w:rsidRPr="00242F34" w:rsidRDefault="00B87E53" w:rsidP="005B451A">
            <w:pPr>
              <w:spacing w:line="360" w:lineRule="auto"/>
              <w:jc w:val="both"/>
              <w:rPr>
                <w:rFonts w:ascii="Times New Roman" w:hAnsi="Times New Roman" w:cs="Times New Roman"/>
              </w:rPr>
            </w:pPr>
            <w:r w:rsidRPr="00242F34">
              <w:rPr>
                <w:rFonts w:ascii="Times New Roman" w:hAnsi="Times New Roman" w:cs="Times New Roman"/>
              </w:rPr>
              <w:t>1.A.  Adopt and clearly communicate to suppliers and the public, a company policy for the supply chain of minerals originating from conflict­ affected and high-risk areas</w:t>
            </w:r>
          </w:p>
        </w:tc>
        <w:tc>
          <w:tcPr>
            <w:tcW w:w="4598" w:type="dxa"/>
          </w:tcPr>
          <w:p w14:paraId="7CEF3C9F"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We have published the policy at company level for easy accesses to stakeholder.</w:t>
            </w:r>
          </w:p>
          <w:p w14:paraId="00F59A46"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OECD and Best Practice Annual communication has been sent to all the active supplier. </w:t>
            </w:r>
          </w:p>
          <w:p w14:paraId="692C224E"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Awareness presentation on Ethical sourcing based on OECD guideline has been circulated. </w:t>
            </w:r>
          </w:p>
          <w:p w14:paraId="5D2CF0FD" w14:textId="0879B820"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Detailed policy and procedure at </w:t>
            </w:r>
            <w:r w:rsidR="00697C14">
              <w:rPr>
                <w:rFonts w:ascii="Times New Roman" w:hAnsi="Times New Roman" w:cs="Times New Roman"/>
              </w:rPr>
              <w:t>company</w:t>
            </w:r>
            <w:r w:rsidRPr="00242F34">
              <w:rPr>
                <w:rFonts w:ascii="Times New Roman" w:hAnsi="Times New Roman" w:cs="Times New Roman"/>
              </w:rPr>
              <w:t xml:space="preserve"> level has been established based on risk of CAHRA’s  is done.</w:t>
            </w:r>
          </w:p>
        </w:tc>
      </w:tr>
      <w:tr w:rsidR="00B87E53" w:rsidRPr="00242F34" w14:paraId="576DE165" w14:textId="77777777" w:rsidTr="005B451A">
        <w:tc>
          <w:tcPr>
            <w:tcW w:w="4252" w:type="dxa"/>
            <w:gridSpan w:val="2"/>
          </w:tcPr>
          <w:p w14:paraId="6BDC74B8" w14:textId="77777777" w:rsidR="00B87E53" w:rsidRPr="00242F34" w:rsidRDefault="00B87E53" w:rsidP="005B451A">
            <w:pPr>
              <w:spacing w:line="360" w:lineRule="auto"/>
              <w:jc w:val="both"/>
              <w:rPr>
                <w:rFonts w:ascii="Times New Roman" w:hAnsi="Times New Roman" w:cs="Times New Roman"/>
              </w:rPr>
            </w:pPr>
            <w:r w:rsidRPr="00242F34">
              <w:rPr>
                <w:rFonts w:ascii="Times New Roman" w:hAnsi="Times New Roman" w:cs="Times New Roman"/>
              </w:rPr>
              <w:t>1.B Structure internal management systems to support supply chain due diligence.</w:t>
            </w:r>
          </w:p>
        </w:tc>
        <w:tc>
          <w:tcPr>
            <w:tcW w:w="4598" w:type="dxa"/>
          </w:tcPr>
          <w:p w14:paraId="0376B46D"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Additional responsibility has been assigned to Compliance officer to look over the compliance of Ethical souring policy.</w:t>
            </w:r>
          </w:p>
          <w:p w14:paraId="7BF47D8E" w14:textId="42C90679"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All key employees involved in souring and procurement of </w:t>
            </w:r>
            <w:r w:rsidR="00795D56">
              <w:rPr>
                <w:rFonts w:ascii="Times New Roman" w:hAnsi="Times New Roman" w:cs="Times New Roman"/>
              </w:rPr>
              <w:t>diamonds</w:t>
            </w:r>
            <w:r w:rsidRPr="00242F34">
              <w:rPr>
                <w:rFonts w:ascii="Times New Roman" w:hAnsi="Times New Roman" w:cs="Times New Roman"/>
              </w:rPr>
              <w:t xml:space="preserve"> have been trained on our Ethical precious metal souring policy. Refresher trainings are provided.</w:t>
            </w:r>
          </w:p>
          <w:p w14:paraId="6D81A71F"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List of Suppliers has been maintained along with status of their social and ethical compliance.</w:t>
            </w:r>
          </w:p>
          <w:p w14:paraId="21F537E4"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On going monitoring of each supplies and associated suppliers is carried out with the help of tools such as digital media, web search, review of supply documents, declaration and market intelligence etc. </w:t>
            </w:r>
          </w:p>
        </w:tc>
      </w:tr>
      <w:tr w:rsidR="00B87E53" w:rsidRPr="00242F34" w14:paraId="200BF53B" w14:textId="77777777" w:rsidTr="005B451A">
        <w:tc>
          <w:tcPr>
            <w:tcW w:w="4252" w:type="dxa"/>
            <w:gridSpan w:val="2"/>
          </w:tcPr>
          <w:p w14:paraId="2D6CC90B" w14:textId="77777777" w:rsidR="00B87E53" w:rsidRPr="00242F34" w:rsidRDefault="00B87E53" w:rsidP="005B451A">
            <w:pPr>
              <w:spacing w:line="360" w:lineRule="auto"/>
              <w:jc w:val="both"/>
              <w:rPr>
                <w:rFonts w:ascii="Times New Roman" w:hAnsi="Times New Roman" w:cs="Times New Roman"/>
              </w:rPr>
            </w:pPr>
            <w:r w:rsidRPr="00242F34">
              <w:rPr>
                <w:rFonts w:ascii="Times New Roman" w:hAnsi="Times New Roman" w:cs="Times New Roman"/>
              </w:rPr>
              <w:lastRenderedPageBreak/>
              <w:t>1.C Establish a system of controls and transparency over the minerals supply chain.</w:t>
            </w:r>
          </w:p>
        </w:tc>
        <w:tc>
          <w:tcPr>
            <w:tcW w:w="4598" w:type="dxa"/>
          </w:tcPr>
          <w:p w14:paraId="41696D4F"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Supplier upstream information collection process started and to obtained CAHRA’s information and Ethical sourcing compliance at supplier level.</w:t>
            </w:r>
          </w:p>
          <w:p w14:paraId="04934007" w14:textId="117A016E"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Currently </w:t>
            </w:r>
            <w:r w:rsidR="005E7994">
              <w:rPr>
                <w:rFonts w:ascii="Times New Roman" w:hAnsi="Times New Roman" w:cs="Times New Roman"/>
              </w:rPr>
              <w:t>Diaexports Corporation</w:t>
            </w:r>
            <w:r w:rsidRPr="00242F34">
              <w:rPr>
                <w:rFonts w:ascii="Times New Roman" w:hAnsi="Times New Roman" w:cs="Times New Roman"/>
              </w:rPr>
              <w:t xml:space="preserve"> </w:t>
            </w:r>
            <w:r w:rsidR="006A43E4">
              <w:rPr>
                <w:rFonts w:ascii="Times New Roman" w:hAnsi="Times New Roman" w:cs="Times New Roman"/>
              </w:rPr>
              <w:t>80</w:t>
            </w:r>
            <w:r w:rsidRPr="00242F34">
              <w:rPr>
                <w:rFonts w:ascii="Times New Roman" w:hAnsi="Times New Roman" w:cs="Times New Roman"/>
              </w:rPr>
              <w:t xml:space="preserve">% </w:t>
            </w:r>
            <w:r w:rsidR="006A43E4">
              <w:rPr>
                <w:rFonts w:ascii="Times New Roman" w:hAnsi="Times New Roman" w:cs="Times New Roman"/>
              </w:rPr>
              <w:t xml:space="preserve">&amp; more </w:t>
            </w:r>
            <w:r w:rsidRPr="00242F34">
              <w:rPr>
                <w:rFonts w:ascii="Times New Roman" w:hAnsi="Times New Roman" w:cs="Times New Roman"/>
              </w:rPr>
              <w:t>supply from l</w:t>
            </w:r>
            <w:r w:rsidR="006A43E4">
              <w:rPr>
                <w:rFonts w:ascii="Times New Roman" w:hAnsi="Times New Roman" w:cs="Times New Roman"/>
              </w:rPr>
              <w:t>o</w:t>
            </w:r>
            <w:r w:rsidRPr="00242F34">
              <w:rPr>
                <w:rFonts w:ascii="Times New Roman" w:hAnsi="Times New Roman" w:cs="Times New Roman"/>
              </w:rPr>
              <w:t xml:space="preserve">w risk and balance </w:t>
            </w:r>
            <w:r w:rsidR="006A43E4">
              <w:rPr>
                <w:rFonts w:ascii="Times New Roman" w:hAnsi="Times New Roman" w:cs="Times New Roman"/>
              </w:rPr>
              <w:t>20</w:t>
            </w:r>
            <w:r w:rsidRPr="00242F34">
              <w:rPr>
                <w:rFonts w:ascii="Times New Roman" w:hAnsi="Times New Roman" w:cs="Times New Roman"/>
              </w:rPr>
              <w:t>% is from non-regular suppliers.</w:t>
            </w:r>
          </w:p>
        </w:tc>
      </w:tr>
      <w:tr w:rsidR="00B87E53" w:rsidRPr="00242F34" w14:paraId="675C031B" w14:textId="77777777" w:rsidTr="005B451A">
        <w:tc>
          <w:tcPr>
            <w:tcW w:w="4252" w:type="dxa"/>
            <w:gridSpan w:val="2"/>
          </w:tcPr>
          <w:p w14:paraId="05CBA41D" w14:textId="77777777" w:rsidR="00B87E53" w:rsidRPr="00242F34" w:rsidRDefault="00B87E53" w:rsidP="005B451A">
            <w:pPr>
              <w:pStyle w:val="BodyText"/>
              <w:tabs>
                <w:tab w:val="left" w:pos="2784"/>
              </w:tabs>
              <w:spacing w:line="360" w:lineRule="auto"/>
              <w:ind w:right="457"/>
              <w:jc w:val="both"/>
              <w:rPr>
                <w:rFonts w:eastAsiaTheme="minorHAnsi"/>
                <w:sz w:val="22"/>
                <w:szCs w:val="22"/>
                <w:lang w:val="en-IN" w:bidi="hi-IN"/>
              </w:rPr>
            </w:pPr>
            <w:r w:rsidRPr="00242F34">
              <w:rPr>
                <w:rFonts w:eastAsiaTheme="minorHAnsi"/>
                <w:sz w:val="22"/>
                <w:szCs w:val="22"/>
                <w:lang w:val="en-IN" w:bidi="hi-IN"/>
              </w:rPr>
              <w:t>1.D Strengthen company engagement with suppliers.</w:t>
            </w:r>
          </w:p>
        </w:tc>
        <w:tc>
          <w:tcPr>
            <w:tcW w:w="4598" w:type="dxa"/>
          </w:tcPr>
          <w:p w14:paraId="7063B18B"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As mentioned above supplier questionnaire has been circulated and we are in the process of following up with them to obtained the filed information from them.</w:t>
            </w:r>
          </w:p>
          <w:p w14:paraId="3B9F0680" w14:textId="3AE8ECC4"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Further we are also obtaining the vital information about suppliers from social platforms and social compliance registration such as BPP &amp; RJC, Approved ASM programs etc</w:t>
            </w:r>
          </w:p>
          <w:p w14:paraId="5EC930A5" w14:textId="0AB604A0"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We are in the process of compiling filled supplier questionnaire data, after analysis we will be formulate supplier engagement practices based on risk reported at each supplier level (if any)</w:t>
            </w:r>
          </w:p>
        </w:tc>
      </w:tr>
      <w:tr w:rsidR="00B87E53" w:rsidRPr="00242F34" w14:paraId="69514AA8" w14:textId="77777777" w:rsidTr="005B451A">
        <w:tc>
          <w:tcPr>
            <w:tcW w:w="4252" w:type="dxa"/>
            <w:gridSpan w:val="2"/>
          </w:tcPr>
          <w:p w14:paraId="4FF0027E" w14:textId="77777777" w:rsidR="00B87E53" w:rsidRPr="00242F34" w:rsidRDefault="00B87E53" w:rsidP="005B451A">
            <w:pPr>
              <w:pStyle w:val="BodyText"/>
              <w:spacing w:before="111" w:line="360" w:lineRule="auto"/>
              <w:ind w:right="426"/>
              <w:jc w:val="both"/>
              <w:rPr>
                <w:rFonts w:eastAsiaTheme="minorHAnsi"/>
                <w:sz w:val="22"/>
                <w:szCs w:val="22"/>
                <w:lang w:val="en-IN" w:bidi="hi-IN"/>
              </w:rPr>
            </w:pPr>
            <w:r w:rsidRPr="00242F34">
              <w:rPr>
                <w:rFonts w:eastAsiaTheme="minorHAnsi"/>
                <w:sz w:val="22"/>
                <w:szCs w:val="22"/>
                <w:lang w:val="en-IN" w:bidi="hi-IN"/>
              </w:rPr>
              <w:t>1.E Establish A Company-Level, Or Industry Wide, Grievance Mechanism As An Early Warning Risk-Awareness System.</w:t>
            </w:r>
          </w:p>
          <w:p w14:paraId="459C73E4" w14:textId="77777777" w:rsidR="00B87E53" w:rsidRPr="00242F34" w:rsidRDefault="00B87E53" w:rsidP="005B451A">
            <w:pPr>
              <w:pStyle w:val="BodyText"/>
              <w:tabs>
                <w:tab w:val="left" w:pos="2784"/>
              </w:tabs>
              <w:spacing w:line="360" w:lineRule="auto"/>
              <w:ind w:right="457"/>
              <w:jc w:val="both"/>
              <w:rPr>
                <w:rFonts w:eastAsiaTheme="minorHAnsi"/>
                <w:sz w:val="22"/>
                <w:szCs w:val="22"/>
                <w:lang w:val="en-IN" w:bidi="hi-IN"/>
              </w:rPr>
            </w:pPr>
          </w:p>
        </w:tc>
        <w:tc>
          <w:tcPr>
            <w:tcW w:w="4598" w:type="dxa"/>
          </w:tcPr>
          <w:p w14:paraId="1E16BCAF" w14:textId="30F32C3F"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We have established the grievance handling policy and procedure at company level, contact details of compliance head provided  in our Social and Ethical policy on our Web site under Business Principle Section ( which is publicly available)</w:t>
            </w:r>
          </w:p>
        </w:tc>
      </w:tr>
      <w:tr w:rsidR="00B87E53" w:rsidRPr="00242F34" w14:paraId="0A0F2564" w14:textId="77777777" w:rsidTr="005B451A">
        <w:tc>
          <w:tcPr>
            <w:tcW w:w="8850" w:type="dxa"/>
            <w:gridSpan w:val="3"/>
            <w:shd w:val="clear" w:color="auto" w:fill="8496B0" w:themeFill="text2" w:themeFillTint="99"/>
          </w:tcPr>
          <w:p w14:paraId="6EA9FB00" w14:textId="77777777" w:rsidR="00B87E53" w:rsidRPr="00242F34" w:rsidRDefault="00B87E53" w:rsidP="005B451A">
            <w:pPr>
              <w:pStyle w:val="BodyText"/>
              <w:spacing w:line="360" w:lineRule="auto"/>
              <w:ind w:right="1105"/>
              <w:jc w:val="both"/>
              <w:rPr>
                <w:rFonts w:eastAsiaTheme="minorHAnsi"/>
                <w:sz w:val="22"/>
                <w:szCs w:val="22"/>
                <w:lang w:val="en-IN" w:bidi="hi-IN"/>
              </w:rPr>
            </w:pPr>
            <w:r w:rsidRPr="00242F34">
              <w:rPr>
                <w:rFonts w:eastAsiaTheme="minorHAnsi"/>
                <w:sz w:val="22"/>
                <w:szCs w:val="22"/>
                <w:lang w:val="en-IN" w:bidi="hi-IN"/>
              </w:rPr>
              <w:t>Step 2: Identify And Assess Risk In The Supply Chain</w:t>
            </w:r>
          </w:p>
        </w:tc>
      </w:tr>
      <w:tr w:rsidR="00B87E53" w:rsidRPr="00242F34" w14:paraId="564489BC" w14:textId="77777777" w:rsidTr="005B451A">
        <w:tc>
          <w:tcPr>
            <w:tcW w:w="4252" w:type="dxa"/>
            <w:gridSpan w:val="2"/>
          </w:tcPr>
          <w:p w14:paraId="021A2082" w14:textId="77777777" w:rsidR="00B87E53" w:rsidRPr="00242F34" w:rsidRDefault="00B87E53" w:rsidP="005B451A">
            <w:pPr>
              <w:pStyle w:val="BodyText"/>
              <w:spacing w:line="360" w:lineRule="auto"/>
              <w:jc w:val="both"/>
              <w:rPr>
                <w:rFonts w:eastAsiaTheme="minorHAnsi"/>
                <w:sz w:val="22"/>
                <w:szCs w:val="22"/>
                <w:lang w:val="en-IN" w:bidi="hi-IN"/>
              </w:rPr>
            </w:pPr>
            <w:r w:rsidRPr="00242F34">
              <w:rPr>
                <w:rFonts w:eastAsiaTheme="minorHAnsi"/>
                <w:sz w:val="22"/>
                <w:szCs w:val="22"/>
                <w:lang w:val="en-IN" w:bidi="hi-IN"/>
              </w:rPr>
              <w:t>Identify And Assess Risks In The Supply Chain And Assess Risks Of Adverse Impacts.</w:t>
            </w:r>
          </w:p>
          <w:p w14:paraId="3F5DD107" w14:textId="77777777" w:rsidR="00B87E53" w:rsidRPr="00242F34" w:rsidRDefault="00B87E53" w:rsidP="005B451A">
            <w:pPr>
              <w:pStyle w:val="BodyText"/>
              <w:spacing w:before="111" w:line="360" w:lineRule="auto"/>
              <w:ind w:right="426"/>
              <w:jc w:val="both"/>
              <w:rPr>
                <w:rFonts w:eastAsiaTheme="minorHAnsi"/>
                <w:sz w:val="22"/>
                <w:szCs w:val="22"/>
                <w:lang w:val="en-IN" w:bidi="hi-IN"/>
              </w:rPr>
            </w:pPr>
          </w:p>
        </w:tc>
        <w:tc>
          <w:tcPr>
            <w:tcW w:w="4598" w:type="dxa"/>
          </w:tcPr>
          <w:p w14:paraId="0D28BD0F" w14:textId="14CB6796"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We have established the detailed policy and procedure for identification of risk at </w:t>
            </w:r>
            <w:r w:rsidR="00697C14">
              <w:rPr>
                <w:rFonts w:ascii="Times New Roman" w:hAnsi="Times New Roman" w:cs="Times New Roman"/>
              </w:rPr>
              <w:t>company</w:t>
            </w:r>
            <w:r w:rsidRPr="00242F34">
              <w:rPr>
                <w:rFonts w:ascii="Times New Roman" w:hAnsi="Times New Roman" w:cs="Times New Roman"/>
              </w:rPr>
              <w:t xml:space="preserve"> level.</w:t>
            </w:r>
          </w:p>
          <w:p w14:paraId="6EE9A5D0" w14:textId="59E7212B" w:rsidR="00B87E53" w:rsidRPr="00242F34" w:rsidRDefault="00697C14" w:rsidP="00B87E53">
            <w:pPr>
              <w:pStyle w:val="ListParagraph"/>
              <w:numPr>
                <w:ilvl w:val="0"/>
                <w:numId w:val="18"/>
              </w:numPr>
              <w:spacing w:line="360" w:lineRule="auto"/>
              <w:ind w:left="470" w:hanging="357"/>
              <w:jc w:val="both"/>
              <w:rPr>
                <w:rFonts w:ascii="Times New Roman" w:hAnsi="Times New Roman" w:cs="Times New Roman"/>
              </w:rPr>
            </w:pPr>
            <w:r>
              <w:rPr>
                <w:rFonts w:ascii="Times New Roman" w:hAnsi="Times New Roman" w:cs="Times New Roman"/>
              </w:rPr>
              <w:lastRenderedPageBreak/>
              <w:t>Company</w:t>
            </w:r>
            <w:r w:rsidR="00B87E53" w:rsidRPr="00242F34">
              <w:rPr>
                <w:rFonts w:ascii="Times New Roman" w:hAnsi="Times New Roman" w:cs="Times New Roman"/>
              </w:rPr>
              <w:t xml:space="preserve"> has appointed and trained compliance officer to oversee the financial and ethical sourcing compliances.</w:t>
            </w:r>
          </w:p>
          <w:p w14:paraId="148B13B4"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We have categorized supply chain in to 2 major segments that its Secondary supplier and Open market suppliers.</w:t>
            </w:r>
          </w:p>
          <w:p w14:paraId="367F8CAD"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All suppliers are bifurcated in to this category and open market supplies are considered as potential risk for supplies from CAHRA’s and thus step by step information are gathered from this category of supplier as mentioned in point 1.B &amp; 1.C. </w:t>
            </w:r>
          </w:p>
        </w:tc>
      </w:tr>
      <w:tr w:rsidR="00B87E53" w:rsidRPr="00242F34" w14:paraId="1D8C7B79" w14:textId="77777777" w:rsidTr="005B451A">
        <w:tc>
          <w:tcPr>
            <w:tcW w:w="8850" w:type="dxa"/>
            <w:gridSpan w:val="3"/>
            <w:shd w:val="clear" w:color="auto" w:fill="8496B0" w:themeFill="text2" w:themeFillTint="99"/>
          </w:tcPr>
          <w:p w14:paraId="1E64D6AD" w14:textId="77777777" w:rsidR="00B87E53" w:rsidRPr="00242F34" w:rsidRDefault="00B87E53" w:rsidP="005B451A">
            <w:pPr>
              <w:pStyle w:val="Heading1"/>
              <w:spacing w:line="360" w:lineRule="auto"/>
              <w:ind w:right="856"/>
              <w:jc w:val="both"/>
              <w:rPr>
                <w:rFonts w:ascii="Times New Roman" w:eastAsiaTheme="minorHAnsi" w:hAnsi="Times New Roman" w:cs="Times New Roman"/>
                <w:b/>
                <w:bCs/>
                <w:sz w:val="22"/>
                <w:szCs w:val="22"/>
                <w:lang w:bidi="hi-IN"/>
              </w:rPr>
            </w:pPr>
            <w:r w:rsidRPr="00242F34">
              <w:rPr>
                <w:rFonts w:ascii="Times New Roman" w:eastAsiaTheme="minorHAnsi" w:hAnsi="Times New Roman" w:cs="Times New Roman"/>
                <w:sz w:val="22"/>
                <w:szCs w:val="22"/>
                <w:lang w:bidi="hi-IN"/>
              </w:rPr>
              <w:lastRenderedPageBreak/>
              <w:t>Step 3: Design And Implement A Strategy To Respond To Identified Risks (If Applicable)</w:t>
            </w:r>
          </w:p>
        </w:tc>
      </w:tr>
      <w:tr w:rsidR="00B87E53" w:rsidRPr="00242F34" w14:paraId="0061E674" w14:textId="77777777" w:rsidTr="005B451A">
        <w:tc>
          <w:tcPr>
            <w:tcW w:w="4252" w:type="dxa"/>
            <w:gridSpan w:val="2"/>
          </w:tcPr>
          <w:p w14:paraId="31699585" w14:textId="77777777" w:rsidR="00B87E53" w:rsidRPr="00242F34" w:rsidRDefault="00B87E53" w:rsidP="005B451A">
            <w:pPr>
              <w:pStyle w:val="BodyText"/>
              <w:spacing w:line="360" w:lineRule="auto"/>
              <w:jc w:val="both"/>
              <w:rPr>
                <w:rFonts w:eastAsiaTheme="minorHAnsi"/>
                <w:sz w:val="22"/>
                <w:szCs w:val="22"/>
                <w:lang w:val="en-IN" w:bidi="hi-IN"/>
              </w:rPr>
            </w:pPr>
            <w:r w:rsidRPr="00242F34">
              <w:rPr>
                <w:rFonts w:eastAsiaTheme="minorHAnsi"/>
                <w:sz w:val="22"/>
                <w:szCs w:val="22"/>
                <w:lang w:val="en-IN" w:bidi="hi-IN"/>
              </w:rPr>
              <w:t>Report Findings Of The Supply Chain Risk Assessment To The Designated Senior Management Of The Company.</w:t>
            </w:r>
          </w:p>
        </w:tc>
        <w:tc>
          <w:tcPr>
            <w:tcW w:w="4598" w:type="dxa"/>
          </w:tcPr>
          <w:p w14:paraId="3A99CA83"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Ongoing monitoring of each supplies is done by compliance officer to confirm its free from Conflict, were required Red Flags are been raised for seeking additional information and closed after receiving such information to our satisfaction.</w:t>
            </w:r>
          </w:p>
          <w:p w14:paraId="38FACA19" w14:textId="6289681A" w:rsidR="00B87E53" w:rsidRPr="00242F34" w:rsidRDefault="00746911" w:rsidP="00B87E53">
            <w:pPr>
              <w:pStyle w:val="ListParagraph"/>
              <w:numPr>
                <w:ilvl w:val="0"/>
                <w:numId w:val="18"/>
              </w:numPr>
              <w:spacing w:line="360" w:lineRule="auto"/>
              <w:ind w:left="470" w:hanging="357"/>
              <w:jc w:val="both"/>
              <w:rPr>
                <w:rFonts w:ascii="Times New Roman" w:hAnsi="Times New Roman" w:cs="Times New Roman"/>
              </w:rPr>
            </w:pPr>
            <w:r>
              <w:rPr>
                <w:rFonts w:ascii="Times New Roman" w:hAnsi="Times New Roman" w:cs="Times New Roman"/>
              </w:rPr>
              <w:t>Company</w:t>
            </w:r>
            <w:r w:rsidR="00B87E53" w:rsidRPr="00242F34">
              <w:rPr>
                <w:rFonts w:ascii="Times New Roman" w:hAnsi="Times New Roman" w:cs="Times New Roman"/>
              </w:rPr>
              <w:t xml:space="preserve"> level compliance officer shall report all un-answered flags to </w:t>
            </w:r>
            <w:r>
              <w:rPr>
                <w:rFonts w:ascii="Times New Roman" w:hAnsi="Times New Roman" w:cs="Times New Roman"/>
              </w:rPr>
              <w:t>Top Management</w:t>
            </w:r>
          </w:p>
          <w:p w14:paraId="0827F801"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In worst situation were information is half or not satisfactory management starts engagement practice and discussion and dialogue with suppliers is carried out to ensure full information in further business.</w:t>
            </w:r>
          </w:p>
        </w:tc>
      </w:tr>
      <w:tr w:rsidR="00B87E53" w:rsidRPr="00242F34" w14:paraId="277F65B2" w14:textId="77777777" w:rsidTr="005B451A">
        <w:tc>
          <w:tcPr>
            <w:tcW w:w="4252" w:type="dxa"/>
            <w:gridSpan w:val="2"/>
          </w:tcPr>
          <w:p w14:paraId="46D2AA6F" w14:textId="77777777" w:rsidR="00B87E53" w:rsidRPr="00242F34" w:rsidRDefault="00B87E53" w:rsidP="005B451A">
            <w:pPr>
              <w:pStyle w:val="BodyText"/>
              <w:spacing w:line="360" w:lineRule="auto"/>
              <w:ind w:right="998" w:firstLine="6"/>
              <w:jc w:val="both"/>
              <w:rPr>
                <w:rFonts w:eastAsiaTheme="minorHAnsi"/>
                <w:sz w:val="22"/>
                <w:szCs w:val="22"/>
                <w:lang w:val="en-IN" w:bidi="hi-IN"/>
              </w:rPr>
            </w:pPr>
            <w:r w:rsidRPr="00242F34">
              <w:rPr>
                <w:rFonts w:eastAsiaTheme="minorHAnsi"/>
                <w:sz w:val="22"/>
                <w:szCs w:val="22"/>
                <w:lang w:val="en-IN" w:bidi="hi-IN"/>
              </w:rPr>
              <w:t>Devise And Adopt A Risk Management Plan.</w:t>
            </w:r>
          </w:p>
          <w:p w14:paraId="1AE14A4E" w14:textId="77777777" w:rsidR="00B87E53" w:rsidRPr="00242F34" w:rsidRDefault="00B87E53" w:rsidP="005B451A">
            <w:pPr>
              <w:pStyle w:val="BodyText"/>
              <w:spacing w:line="360" w:lineRule="auto"/>
              <w:jc w:val="both"/>
              <w:rPr>
                <w:rFonts w:eastAsiaTheme="minorHAnsi"/>
                <w:sz w:val="22"/>
                <w:szCs w:val="22"/>
                <w:lang w:val="en-IN" w:bidi="hi-IN"/>
              </w:rPr>
            </w:pPr>
          </w:p>
        </w:tc>
        <w:tc>
          <w:tcPr>
            <w:tcW w:w="4598" w:type="dxa"/>
          </w:tcPr>
          <w:p w14:paraId="4FEC5C5D" w14:textId="17771A93"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lastRenderedPageBreak/>
              <w:t xml:space="preserve">We have formulated the risk management plans at </w:t>
            </w:r>
            <w:r w:rsidR="00C2379E">
              <w:rPr>
                <w:rFonts w:ascii="Times New Roman" w:hAnsi="Times New Roman" w:cs="Times New Roman"/>
              </w:rPr>
              <w:t>company</w:t>
            </w:r>
            <w:r w:rsidRPr="00242F34">
              <w:rPr>
                <w:rFonts w:ascii="Times New Roman" w:hAnsi="Times New Roman" w:cs="Times New Roman"/>
              </w:rPr>
              <w:t xml:space="preserve"> level considering </w:t>
            </w:r>
            <w:r w:rsidRPr="00242F34">
              <w:rPr>
                <w:rFonts w:ascii="Times New Roman" w:hAnsi="Times New Roman" w:cs="Times New Roman"/>
              </w:rPr>
              <w:lastRenderedPageBreak/>
              <w:t>individual entities position in supply chain and position of supplier in supply chain.</w:t>
            </w:r>
          </w:p>
          <w:p w14:paraId="39A0474F" w14:textId="17D8ADB8" w:rsidR="00B87E53" w:rsidRPr="00242F34" w:rsidRDefault="00C2379E" w:rsidP="00B87E53">
            <w:pPr>
              <w:pStyle w:val="ListParagraph"/>
              <w:numPr>
                <w:ilvl w:val="0"/>
                <w:numId w:val="18"/>
              </w:numPr>
              <w:spacing w:line="360" w:lineRule="auto"/>
              <w:ind w:left="470" w:hanging="357"/>
              <w:jc w:val="both"/>
              <w:rPr>
                <w:rFonts w:ascii="Times New Roman" w:hAnsi="Times New Roman" w:cs="Times New Roman"/>
              </w:rPr>
            </w:pPr>
            <w:r>
              <w:rPr>
                <w:rFonts w:ascii="Times New Roman" w:hAnsi="Times New Roman" w:cs="Times New Roman"/>
              </w:rPr>
              <w:t>C</w:t>
            </w:r>
            <w:r w:rsidR="00B87E53" w:rsidRPr="00242F34">
              <w:rPr>
                <w:rFonts w:ascii="Times New Roman" w:hAnsi="Times New Roman" w:cs="Times New Roman"/>
              </w:rPr>
              <w:t xml:space="preserve">ompliance officer carries out monitoring of each and every business </w:t>
            </w:r>
            <w:r w:rsidR="0000501B" w:rsidRPr="00242F34">
              <w:rPr>
                <w:rFonts w:ascii="Times New Roman" w:hAnsi="Times New Roman" w:cs="Times New Roman"/>
              </w:rPr>
              <w:t>transaction</w:t>
            </w:r>
            <w:r w:rsidR="00B87E53" w:rsidRPr="00242F34">
              <w:rPr>
                <w:rFonts w:ascii="Times New Roman" w:hAnsi="Times New Roman" w:cs="Times New Roman"/>
              </w:rPr>
              <w:t xml:space="preserve"> and were required Red Flags are been raised and further steps are followed as mention above. </w:t>
            </w:r>
          </w:p>
          <w:p w14:paraId="54DC6E46"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Brief of companies Risk Management Practices has been mentioned in communication of Business policy on our website.  </w:t>
            </w:r>
          </w:p>
        </w:tc>
      </w:tr>
      <w:tr w:rsidR="00B87E53" w:rsidRPr="00242F34" w14:paraId="27145D63" w14:textId="77777777" w:rsidTr="005B451A">
        <w:tc>
          <w:tcPr>
            <w:tcW w:w="4252" w:type="dxa"/>
            <w:gridSpan w:val="2"/>
          </w:tcPr>
          <w:p w14:paraId="5D6D3794" w14:textId="77777777" w:rsidR="00B87E53" w:rsidRPr="00242F34" w:rsidRDefault="00B87E53" w:rsidP="005B451A">
            <w:pPr>
              <w:pStyle w:val="BodyText"/>
              <w:spacing w:before="104" w:line="360" w:lineRule="auto"/>
              <w:jc w:val="both"/>
              <w:rPr>
                <w:rFonts w:eastAsiaTheme="minorHAnsi"/>
                <w:sz w:val="22"/>
                <w:szCs w:val="22"/>
                <w:lang w:val="en-IN" w:bidi="hi-IN"/>
              </w:rPr>
            </w:pPr>
            <w:r w:rsidRPr="00242F34">
              <w:rPr>
                <w:rFonts w:eastAsiaTheme="minorHAnsi"/>
                <w:sz w:val="22"/>
                <w:szCs w:val="22"/>
                <w:lang w:val="en-IN" w:bidi="hi-IN"/>
              </w:rPr>
              <w:lastRenderedPageBreak/>
              <w:t>Implement The Risk Management Plan And Monitor Performance Of Risk Mitigation Efforts.</w:t>
            </w:r>
          </w:p>
          <w:p w14:paraId="41FA0168" w14:textId="77777777" w:rsidR="00B87E53" w:rsidRPr="00242F34" w:rsidRDefault="00B87E53" w:rsidP="005B451A">
            <w:pPr>
              <w:pStyle w:val="BodyText"/>
              <w:spacing w:line="360" w:lineRule="auto"/>
              <w:ind w:right="998" w:firstLine="6"/>
              <w:jc w:val="both"/>
              <w:rPr>
                <w:rFonts w:eastAsiaTheme="minorHAnsi"/>
                <w:sz w:val="22"/>
                <w:szCs w:val="22"/>
                <w:lang w:val="en-IN" w:bidi="hi-IN"/>
              </w:rPr>
            </w:pPr>
          </w:p>
        </w:tc>
        <w:tc>
          <w:tcPr>
            <w:tcW w:w="4598" w:type="dxa"/>
          </w:tcPr>
          <w:p w14:paraId="2F14C80D" w14:textId="6F6B5FBC" w:rsidR="00B87E53" w:rsidRPr="00242F34" w:rsidRDefault="00C65096" w:rsidP="00B87E53">
            <w:pPr>
              <w:pStyle w:val="ListParagraph"/>
              <w:numPr>
                <w:ilvl w:val="0"/>
                <w:numId w:val="18"/>
              </w:numPr>
              <w:spacing w:line="360" w:lineRule="auto"/>
              <w:ind w:left="470" w:hanging="357"/>
              <w:jc w:val="both"/>
              <w:rPr>
                <w:rFonts w:ascii="Times New Roman" w:hAnsi="Times New Roman" w:cs="Times New Roman"/>
              </w:rPr>
            </w:pPr>
            <w:r>
              <w:rPr>
                <w:rFonts w:ascii="Times New Roman" w:hAnsi="Times New Roman" w:cs="Times New Roman"/>
              </w:rPr>
              <w:t>Compliance officer has</w:t>
            </w:r>
            <w:r w:rsidR="00B87E53" w:rsidRPr="00242F34">
              <w:rPr>
                <w:rFonts w:ascii="Times New Roman" w:hAnsi="Times New Roman" w:cs="Times New Roman"/>
              </w:rPr>
              <w:t xml:space="preserve"> monitoring of Red Flags and its effective closure is monitored.</w:t>
            </w:r>
          </w:p>
          <w:p w14:paraId="4B4B6952"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Compliance officer provides period status reports of OECD compliance to the management.</w:t>
            </w:r>
          </w:p>
        </w:tc>
      </w:tr>
      <w:tr w:rsidR="00B87E53" w:rsidRPr="00242F34" w14:paraId="59C56A5A" w14:textId="77777777" w:rsidTr="005B451A">
        <w:tc>
          <w:tcPr>
            <w:tcW w:w="4252" w:type="dxa"/>
            <w:gridSpan w:val="2"/>
          </w:tcPr>
          <w:p w14:paraId="534F5656" w14:textId="77777777" w:rsidR="00B87E53" w:rsidRPr="00242F34" w:rsidRDefault="00B87E53" w:rsidP="005B451A">
            <w:pPr>
              <w:pStyle w:val="BodyText"/>
              <w:spacing w:before="111" w:line="360" w:lineRule="auto"/>
              <w:ind w:firstLine="6"/>
              <w:jc w:val="both"/>
              <w:rPr>
                <w:rFonts w:eastAsiaTheme="minorHAnsi"/>
                <w:sz w:val="22"/>
                <w:szCs w:val="22"/>
                <w:lang w:val="en-IN" w:bidi="hi-IN"/>
              </w:rPr>
            </w:pPr>
            <w:r w:rsidRPr="00242F34">
              <w:rPr>
                <w:rFonts w:eastAsiaTheme="minorHAnsi"/>
                <w:sz w:val="22"/>
                <w:szCs w:val="22"/>
                <w:lang w:val="en-IN" w:bidi="hi-IN"/>
              </w:rPr>
              <w:t>Internal Training</w:t>
            </w:r>
          </w:p>
          <w:p w14:paraId="25B00400" w14:textId="77777777" w:rsidR="00B87E53" w:rsidRPr="00242F34" w:rsidRDefault="00B87E53" w:rsidP="005B451A">
            <w:pPr>
              <w:pStyle w:val="BodyText"/>
              <w:spacing w:before="104" w:line="360" w:lineRule="auto"/>
              <w:jc w:val="both"/>
              <w:rPr>
                <w:rFonts w:eastAsiaTheme="minorHAnsi"/>
                <w:sz w:val="22"/>
                <w:szCs w:val="22"/>
                <w:lang w:val="en-IN" w:bidi="hi-IN"/>
              </w:rPr>
            </w:pPr>
          </w:p>
        </w:tc>
        <w:tc>
          <w:tcPr>
            <w:tcW w:w="4598" w:type="dxa"/>
          </w:tcPr>
          <w:p w14:paraId="6C9636E9" w14:textId="02127832" w:rsidR="00B87E53" w:rsidRPr="00242F34" w:rsidRDefault="00250DE2" w:rsidP="00B87E53">
            <w:pPr>
              <w:pStyle w:val="ListParagraph"/>
              <w:numPr>
                <w:ilvl w:val="0"/>
                <w:numId w:val="18"/>
              </w:numPr>
              <w:spacing w:line="360" w:lineRule="auto"/>
              <w:ind w:left="470" w:hanging="357"/>
              <w:jc w:val="both"/>
              <w:rPr>
                <w:rFonts w:ascii="Times New Roman" w:hAnsi="Times New Roman" w:cs="Times New Roman"/>
              </w:rPr>
            </w:pPr>
            <w:r>
              <w:rPr>
                <w:rFonts w:ascii="Times New Roman" w:hAnsi="Times New Roman" w:cs="Times New Roman"/>
              </w:rPr>
              <w:t>Organisation has</w:t>
            </w:r>
            <w:r w:rsidR="00B87E53" w:rsidRPr="00242F34">
              <w:rPr>
                <w:rFonts w:ascii="Times New Roman" w:hAnsi="Times New Roman" w:cs="Times New Roman"/>
              </w:rPr>
              <w:t xml:space="preserve"> </w:t>
            </w:r>
            <w:r w:rsidR="0000501B" w:rsidRPr="00242F34">
              <w:rPr>
                <w:rFonts w:ascii="Times New Roman" w:hAnsi="Times New Roman" w:cs="Times New Roman"/>
              </w:rPr>
              <w:t>provided</w:t>
            </w:r>
            <w:r w:rsidR="00B87E53" w:rsidRPr="00242F34">
              <w:rPr>
                <w:rFonts w:ascii="Times New Roman" w:hAnsi="Times New Roman" w:cs="Times New Roman"/>
              </w:rPr>
              <w:t xml:space="preserve"> period training to all the concern employee involved in buying and selling and compliance monitoring team.</w:t>
            </w:r>
          </w:p>
        </w:tc>
      </w:tr>
      <w:tr w:rsidR="00B87E53" w:rsidRPr="00242F34" w14:paraId="0BA4A2FB" w14:textId="77777777" w:rsidTr="005B451A">
        <w:tc>
          <w:tcPr>
            <w:tcW w:w="4252" w:type="dxa"/>
            <w:gridSpan w:val="2"/>
          </w:tcPr>
          <w:p w14:paraId="058DD325" w14:textId="77777777" w:rsidR="00B87E53" w:rsidRPr="00242F34" w:rsidRDefault="00B87E53" w:rsidP="005B451A">
            <w:pPr>
              <w:pStyle w:val="BodyText"/>
              <w:spacing w:line="360" w:lineRule="auto"/>
              <w:jc w:val="both"/>
              <w:rPr>
                <w:rFonts w:eastAsiaTheme="minorHAnsi"/>
                <w:sz w:val="22"/>
                <w:szCs w:val="22"/>
                <w:lang w:val="en-IN" w:bidi="hi-IN"/>
              </w:rPr>
            </w:pPr>
            <w:r w:rsidRPr="00242F34">
              <w:rPr>
                <w:rFonts w:eastAsiaTheme="minorHAnsi"/>
                <w:sz w:val="22"/>
                <w:szCs w:val="22"/>
                <w:lang w:val="en-IN" w:bidi="hi-IN"/>
              </w:rPr>
              <w:t>Communications</w:t>
            </w:r>
          </w:p>
          <w:p w14:paraId="2CE9DAC1" w14:textId="77777777" w:rsidR="00B87E53" w:rsidRPr="00242F34" w:rsidRDefault="00B87E53" w:rsidP="005B451A">
            <w:pPr>
              <w:pStyle w:val="BodyText"/>
              <w:spacing w:before="111" w:line="360" w:lineRule="auto"/>
              <w:jc w:val="both"/>
              <w:rPr>
                <w:rFonts w:eastAsiaTheme="minorHAnsi"/>
                <w:sz w:val="22"/>
                <w:szCs w:val="22"/>
                <w:lang w:val="en-IN" w:bidi="hi-IN"/>
              </w:rPr>
            </w:pPr>
          </w:p>
        </w:tc>
        <w:tc>
          <w:tcPr>
            <w:tcW w:w="4598" w:type="dxa"/>
          </w:tcPr>
          <w:p w14:paraId="2279ED51" w14:textId="79A0AB62"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Business principle has been published on the website covering all the COP wise policy including Ethical </w:t>
            </w:r>
            <w:r w:rsidR="0033711C">
              <w:rPr>
                <w:rFonts w:ascii="Times New Roman" w:hAnsi="Times New Roman" w:cs="Times New Roman"/>
              </w:rPr>
              <w:t>diamond</w:t>
            </w:r>
            <w:r w:rsidRPr="00242F34">
              <w:rPr>
                <w:rFonts w:ascii="Times New Roman" w:hAnsi="Times New Roman" w:cs="Times New Roman"/>
              </w:rPr>
              <w:t xml:space="preserve"> souring policy </w:t>
            </w:r>
            <w:r w:rsidR="0033711C">
              <w:rPr>
                <w:rFonts w:ascii="Times New Roman" w:hAnsi="Times New Roman" w:cs="Times New Roman"/>
              </w:rPr>
              <w:t>of the company level.</w:t>
            </w:r>
          </w:p>
          <w:p w14:paraId="3A91EFAD" w14:textId="77777777"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Over and above Annual communication on Business policy and Awareness on various best practices and expectation from business partners is communicated </w:t>
            </w:r>
          </w:p>
        </w:tc>
      </w:tr>
      <w:tr w:rsidR="00B87E53" w:rsidRPr="00242F34" w14:paraId="03F37282" w14:textId="77777777" w:rsidTr="005B451A">
        <w:tc>
          <w:tcPr>
            <w:tcW w:w="8850" w:type="dxa"/>
            <w:gridSpan w:val="3"/>
            <w:shd w:val="clear" w:color="auto" w:fill="8496B0" w:themeFill="text2" w:themeFillTint="99"/>
          </w:tcPr>
          <w:p w14:paraId="460D3693" w14:textId="77777777" w:rsidR="00B87E53" w:rsidRPr="00242F34" w:rsidRDefault="00B87E53" w:rsidP="005B451A">
            <w:pPr>
              <w:pStyle w:val="Heading1"/>
              <w:spacing w:line="360" w:lineRule="auto"/>
              <w:jc w:val="both"/>
              <w:rPr>
                <w:rFonts w:ascii="Times New Roman" w:eastAsiaTheme="minorHAnsi" w:hAnsi="Times New Roman" w:cs="Times New Roman"/>
                <w:b/>
                <w:bCs/>
                <w:sz w:val="22"/>
                <w:szCs w:val="22"/>
                <w:lang w:bidi="hi-IN"/>
              </w:rPr>
            </w:pPr>
            <w:r w:rsidRPr="00242F34">
              <w:rPr>
                <w:rFonts w:ascii="Times New Roman" w:eastAsiaTheme="minorHAnsi" w:hAnsi="Times New Roman" w:cs="Times New Roman"/>
                <w:sz w:val="22"/>
                <w:szCs w:val="22"/>
                <w:lang w:bidi="hi-IN"/>
              </w:rPr>
              <w:t>OPTIONAL INFORMATION ON Step 4:Carry Out Independent Third-Party Audit</w:t>
            </w:r>
          </w:p>
        </w:tc>
      </w:tr>
      <w:tr w:rsidR="00B87E53" w:rsidRPr="00242F34" w14:paraId="42421D96" w14:textId="77777777" w:rsidTr="005B451A">
        <w:tc>
          <w:tcPr>
            <w:tcW w:w="4252" w:type="dxa"/>
            <w:gridSpan w:val="2"/>
          </w:tcPr>
          <w:p w14:paraId="2D7C952F" w14:textId="77777777" w:rsidR="00B87E53" w:rsidRPr="00242F34" w:rsidRDefault="00B87E53" w:rsidP="005B451A">
            <w:pPr>
              <w:pStyle w:val="BodyText"/>
              <w:spacing w:line="360" w:lineRule="auto"/>
              <w:jc w:val="both"/>
              <w:rPr>
                <w:rFonts w:eastAsiaTheme="minorHAnsi"/>
                <w:sz w:val="22"/>
                <w:szCs w:val="22"/>
                <w:lang w:val="en-IN" w:bidi="hi-IN"/>
              </w:rPr>
            </w:pPr>
            <w:r w:rsidRPr="00242F34">
              <w:rPr>
                <w:rFonts w:eastAsiaTheme="minorHAnsi"/>
                <w:sz w:val="22"/>
                <w:szCs w:val="22"/>
                <w:lang w:val="en-IN" w:bidi="hi-IN"/>
              </w:rPr>
              <w:t>RJC COP Audit</w:t>
            </w:r>
          </w:p>
        </w:tc>
        <w:tc>
          <w:tcPr>
            <w:tcW w:w="4598" w:type="dxa"/>
          </w:tcPr>
          <w:p w14:paraId="3CC3E557" w14:textId="3D9ED9F1"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Our office has finalized the RJC </w:t>
            </w:r>
            <w:r w:rsidR="003D3484">
              <w:rPr>
                <w:rFonts w:ascii="Times New Roman" w:hAnsi="Times New Roman" w:cs="Times New Roman"/>
              </w:rPr>
              <w:t>COP</w:t>
            </w:r>
            <w:r w:rsidR="0000501B">
              <w:rPr>
                <w:rFonts w:ascii="Times New Roman" w:hAnsi="Times New Roman" w:cs="Times New Roman"/>
              </w:rPr>
              <w:t xml:space="preserve"> Recertification </w:t>
            </w:r>
            <w:r w:rsidR="00497B08">
              <w:rPr>
                <w:rFonts w:ascii="Times New Roman" w:hAnsi="Times New Roman" w:cs="Times New Roman"/>
              </w:rPr>
              <w:t xml:space="preserve">audit </w:t>
            </w:r>
            <w:r w:rsidR="006456BB">
              <w:rPr>
                <w:rFonts w:ascii="Times New Roman" w:hAnsi="Times New Roman" w:cs="Times New Roman"/>
              </w:rPr>
              <w:t xml:space="preserve">is </w:t>
            </w:r>
            <w:r w:rsidR="00486284">
              <w:rPr>
                <w:rFonts w:ascii="Times New Roman" w:hAnsi="Times New Roman" w:cs="Times New Roman"/>
              </w:rPr>
              <w:t xml:space="preserve">in </w:t>
            </w:r>
            <w:r w:rsidR="006456BB">
              <w:rPr>
                <w:rFonts w:ascii="Times New Roman" w:hAnsi="Times New Roman" w:cs="Times New Roman"/>
              </w:rPr>
              <w:t xml:space="preserve">first week of </w:t>
            </w:r>
            <w:r w:rsidR="0067331B">
              <w:rPr>
                <w:rFonts w:ascii="Times New Roman" w:hAnsi="Times New Roman" w:cs="Times New Roman"/>
              </w:rPr>
              <w:t>A</w:t>
            </w:r>
            <w:r w:rsidR="006456BB">
              <w:rPr>
                <w:rFonts w:ascii="Times New Roman" w:hAnsi="Times New Roman" w:cs="Times New Roman"/>
              </w:rPr>
              <w:t>ugust</w:t>
            </w:r>
            <w:r w:rsidR="00486284">
              <w:rPr>
                <w:rFonts w:ascii="Times New Roman" w:hAnsi="Times New Roman" w:cs="Times New Roman"/>
              </w:rPr>
              <w:t xml:space="preserve"> 2025</w:t>
            </w:r>
            <w:r w:rsidR="00387AA0">
              <w:rPr>
                <w:rFonts w:ascii="Times New Roman" w:hAnsi="Times New Roman" w:cs="Times New Roman"/>
              </w:rPr>
              <w:t xml:space="preserve">. </w:t>
            </w:r>
            <w:r w:rsidRPr="00242F34">
              <w:rPr>
                <w:rFonts w:ascii="Times New Roman" w:hAnsi="Times New Roman" w:cs="Times New Roman"/>
              </w:rPr>
              <w:t xml:space="preserve">Once the audit is completed, the final report will be made available to us. </w:t>
            </w:r>
            <w:r w:rsidRPr="00242F34">
              <w:rPr>
                <w:rFonts w:ascii="Times New Roman" w:hAnsi="Times New Roman" w:cs="Times New Roman"/>
              </w:rPr>
              <w:lastRenderedPageBreak/>
              <w:t xml:space="preserve">We will ensure transparency and accountability by sharing the annual compliance reports with our stakeholders upon request. These reports are essential in showcasing our adherence to industry standards and best practices.  </w:t>
            </w:r>
          </w:p>
        </w:tc>
      </w:tr>
      <w:tr w:rsidR="00B87E53" w:rsidRPr="00242F34" w14:paraId="05C4EAA5" w14:textId="77777777" w:rsidTr="005B451A">
        <w:tc>
          <w:tcPr>
            <w:tcW w:w="4252" w:type="dxa"/>
            <w:gridSpan w:val="2"/>
          </w:tcPr>
          <w:p w14:paraId="7D75DB4E" w14:textId="77777777" w:rsidR="00B87E53" w:rsidRPr="00242F34" w:rsidRDefault="00B87E53" w:rsidP="005B451A">
            <w:pPr>
              <w:pStyle w:val="BodyText"/>
              <w:spacing w:before="138" w:line="360" w:lineRule="auto"/>
              <w:jc w:val="both"/>
              <w:rPr>
                <w:rFonts w:eastAsiaTheme="minorHAnsi"/>
                <w:sz w:val="22"/>
                <w:szCs w:val="22"/>
                <w:lang w:val="en-IN" w:bidi="hi-IN"/>
              </w:rPr>
            </w:pPr>
            <w:r w:rsidRPr="00242F34">
              <w:rPr>
                <w:rFonts w:eastAsiaTheme="minorHAnsi"/>
                <w:sz w:val="22"/>
                <w:szCs w:val="22"/>
                <w:lang w:val="en-IN" w:bidi="hi-IN"/>
              </w:rPr>
              <w:lastRenderedPageBreak/>
              <w:t>Grievances And Remediation</w:t>
            </w:r>
          </w:p>
        </w:tc>
        <w:tc>
          <w:tcPr>
            <w:tcW w:w="4598" w:type="dxa"/>
          </w:tcPr>
          <w:p w14:paraId="2D6B3B0B" w14:textId="6C81C0B4" w:rsidR="00B87E53" w:rsidRPr="00242F34" w:rsidRDefault="00B87E53" w:rsidP="00B87E53">
            <w:pPr>
              <w:pStyle w:val="ListParagraph"/>
              <w:numPr>
                <w:ilvl w:val="0"/>
                <w:numId w:val="18"/>
              </w:numPr>
              <w:spacing w:line="360" w:lineRule="auto"/>
              <w:ind w:left="470" w:hanging="357"/>
              <w:jc w:val="both"/>
              <w:rPr>
                <w:rFonts w:ascii="Times New Roman" w:hAnsi="Times New Roman" w:cs="Times New Roman"/>
              </w:rPr>
            </w:pPr>
            <w:r w:rsidRPr="00242F34">
              <w:rPr>
                <w:rFonts w:ascii="Times New Roman" w:hAnsi="Times New Roman" w:cs="Times New Roman"/>
              </w:rPr>
              <w:t xml:space="preserve">No grievance of </w:t>
            </w:r>
            <w:r w:rsidR="00217701" w:rsidRPr="00242F34">
              <w:rPr>
                <w:rFonts w:ascii="Times New Roman" w:hAnsi="Times New Roman" w:cs="Times New Roman"/>
              </w:rPr>
              <w:t>whatsoever</w:t>
            </w:r>
            <w:r w:rsidRPr="00242F34">
              <w:rPr>
                <w:rFonts w:ascii="Times New Roman" w:hAnsi="Times New Roman" w:cs="Times New Roman"/>
              </w:rPr>
              <w:t xml:space="preserve"> has been reported till date.</w:t>
            </w:r>
          </w:p>
        </w:tc>
      </w:tr>
    </w:tbl>
    <w:p w14:paraId="6E6A60A7" w14:textId="77777777" w:rsidR="00B87E53" w:rsidRPr="00242F34" w:rsidRDefault="00B87E53" w:rsidP="00B87E53">
      <w:pPr>
        <w:spacing w:line="360" w:lineRule="auto"/>
        <w:jc w:val="both"/>
        <w:rPr>
          <w:rFonts w:ascii="Times New Roman" w:hAnsi="Times New Roman" w:cs="Times New Roman"/>
        </w:rPr>
      </w:pPr>
    </w:p>
    <w:p w14:paraId="020AE706" w14:textId="4DD86F6A" w:rsidR="00B87E53" w:rsidRPr="00242F34" w:rsidRDefault="00B87E53" w:rsidP="00B87E53">
      <w:pPr>
        <w:tabs>
          <w:tab w:val="left" w:pos="6840"/>
        </w:tabs>
        <w:rPr>
          <w:rFonts w:ascii="Times New Roman" w:hAnsi="Times New Roman" w:cs="Times New Roman"/>
        </w:rPr>
      </w:pPr>
      <w:r w:rsidRPr="00242F34">
        <w:rPr>
          <w:rFonts w:ascii="Times New Roman" w:hAnsi="Times New Roman" w:cs="Times New Roman"/>
        </w:rPr>
        <w:t>Prepared By</w:t>
      </w:r>
      <w:r w:rsidR="005B031F">
        <w:rPr>
          <w:rFonts w:ascii="Times New Roman" w:hAnsi="Times New Roman" w:cs="Times New Roman"/>
        </w:rPr>
        <w:t xml:space="preserve">: Compliance Officer </w:t>
      </w:r>
      <w:r w:rsidR="005B031F">
        <w:rPr>
          <w:rFonts w:ascii="Times New Roman" w:hAnsi="Times New Roman" w:cs="Times New Roman"/>
        </w:rPr>
        <w:tab/>
        <w:t xml:space="preserve">Approved by : Top Management </w:t>
      </w:r>
    </w:p>
    <w:p w14:paraId="0F92DE80" w14:textId="321E427E" w:rsidR="00B87E53" w:rsidRPr="00242F34" w:rsidRDefault="00B87E53" w:rsidP="004A53B2">
      <w:pPr>
        <w:tabs>
          <w:tab w:val="left" w:pos="6840"/>
        </w:tabs>
        <w:rPr>
          <w:rFonts w:ascii="Times New Roman" w:hAnsi="Times New Roman" w:cs="Times New Roman"/>
        </w:rPr>
      </w:pPr>
      <w:r w:rsidRPr="00242F34">
        <w:rPr>
          <w:rFonts w:ascii="Times New Roman" w:hAnsi="Times New Roman" w:cs="Times New Roman"/>
        </w:rPr>
        <w:t xml:space="preserve">Date : </w:t>
      </w:r>
      <w:r w:rsidR="005B031F">
        <w:rPr>
          <w:rFonts w:ascii="Times New Roman" w:hAnsi="Times New Roman" w:cs="Times New Roman"/>
        </w:rPr>
        <w:t>2</w:t>
      </w:r>
      <w:r w:rsidR="002D41E9">
        <w:rPr>
          <w:rFonts w:ascii="Times New Roman" w:hAnsi="Times New Roman" w:cs="Times New Roman"/>
        </w:rPr>
        <w:t>2</w:t>
      </w:r>
      <w:r w:rsidR="002D41E9" w:rsidRPr="002D41E9">
        <w:rPr>
          <w:rFonts w:ascii="Times New Roman" w:hAnsi="Times New Roman" w:cs="Times New Roman"/>
          <w:vertAlign w:val="superscript"/>
        </w:rPr>
        <w:t>nd</w:t>
      </w:r>
      <w:r w:rsidR="002D41E9">
        <w:rPr>
          <w:rFonts w:ascii="Times New Roman" w:hAnsi="Times New Roman" w:cs="Times New Roman"/>
        </w:rPr>
        <w:t xml:space="preserve"> </w:t>
      </w:r>
      <w:r w:rsidR="00E72CDD">
        <w:rPr>
          <w:rFonts w:ascii="Times New Roman" w:hAnsi="Times New Roman" w:cs="Times New Roman"/>
        </w:rPr>
        <w:t>August. 2025</w:t>
      </w:r>
    </w:p>
    <w:sectPr w:rsidR="00B87E53" w:rsidRPr="00242F34" w:rsidSect="00C46EFC">
      <w:headerReference w:type="default" r:id="rId7"/>
      <w:pgSz w:w="11906" w:h="1683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DC9F" w14:textId="77777777" w:rsidR="002B55E5" w:rsidRDefault="002B55E5" w:rsidP="00E0173C">
      <w:pPr>
        <w:spacing w:after="0" w:line="240" w:lineRule="auto"/>
      </w:pPr>
      <w:r>
        <w:separator/>
      </w:r>
    </w:p>
  </w:endnote>
  <w:endnote w:type="continuationSeparator" w:id="0">
    <w:p w14:paraId="714CDCA0" w14:textId="77777777" w:rsidR="002B55E5" w:rsidRDefault="002B55E5" w:rsidP="00E0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DC9D" w14:textId="77777777" w:rsidR="002B55E5" w:rsidRDefault="002B55E5" w:rsidP="00E0173C">
      <w:pPr>
        <w:spacing w:after="0" w:line="240" w:lineRule="auto"/>
      </w:pPr>
      <w:r>
        <w:separator/>
      </w:r>
    </w:p>
  </w:footnote>
  <w:footnote w:type="continuationSeparator" w:id="0">
    <w:p w14:paraId="714CDC9E" w14:textId="77777777" w:rsidR="002B55E5" w:rsidRDefault="002B55E5" w:rsidP="00E0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DCA1" w14:textId="77777777" w:rsidR="00010AC1" w:rsidRPr="0024766A" w:rsidRDefault="00010AC1" w:rsidP="00010AC1">
    <w:pPr>
      <w:ind w:left="142"/>
      <w:rPr>
        <w:b/>
        <w:bCs/>
        <w:sz w:val="12"/>
        <w:szCs w:val="36"/>
      </w:rPr>
    </w:pPr>
  </w:p>
  <w:tbl>
    <w:tblPr>
      <w:tblW w:w="9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8"/>
    </w:tblGrid>
    <w:tr w:rsidR="00C46EFC" w:rsidRPr="0024766A" w14:paraId="714CDCA3" w14:textId="77777777" w:rsidTr="004A2A50">
      <w:trPr>
        <w:trHeight w:val="407"/>
        <w:tblHeader/>
      </w:trPr>
      <w:tc>
        <w:tcPr>
          <w:tcW w:w="9758" w:type="dxa"/>
          <w:vAlign w:val="center"/>
        </w:tcPr>
        <w:p w14:paraId="714CDCA2" w14:textId="4E40F1A0" w:rsidR="00C46EFC" w:rsidRPr="0024766A" w:rsidRDefault="006503D8" w:rsidP="000945C5">
          <w:pPr>
            <w:pStyle w:val="Header"/>
            <w:jc w:val="center"/>
            <w:rPr>
              <w:b/>
              <w:bCs/>
              <w:sz w:val="44"/>
              <w:szCs w:val="44"/>
            </w:rPr>
          </w:pPr>
          <w:r>
            <w:rPr>
              <w:noProof/>
            </w:rPr>
            <w:drawing>
              <wp:inline distT="0" distB="0" distL="0" distR="0" wp14:anchorId="2C826C81" wp14:editId="2289617D">
                <wp:extent cx="2352675" cy="676275"/>
                <wp:effectExtent l="0" t="0" r="0" b="0"/>
                <wp:docPr id="699396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76275"/>
                        </a:xfrm>
                        <a:prstGeom prst="rect">
                          <a:avLst/>
                        </a:prstGeom>
                        <a:noFill/>
                        <a:ln>
                          <a:noFill/>
                        </a:ln>
                      </pic:spPr>
                    </pic:pic>
                  </a:graphicData>
                </a:graphic>
              </wp:inline>
            </w:drawing>
          </w:r>
        </w:p>
      </w:tc>
    </w:tr>
  </w:tbl>
  <w:p w14:paraId="667F0F4F" w14:textId="700C48BA" w:rsidR="004A2A50" w:rsidRPr="00D71E09" w:rsidRDefault="004A2A50" w:rsidP="007A044A">
    <w:pPr>
      <w:pStyle w:val="Header"/>
      <w:ind w:left="-250"/>
      <w:jc w:val="center"/>
      <w:rPr>
        <w:rFonts w:ascii="Times New Roman" w:hAnsi="Times New Roman" w:cs="Times New Roman"/>
        <w:color w:val="0070C0"/>
        <w:sz w:val="28"/>
      </w:rPr>
    </w:pPr>
    <w:r w:rsidRPr="00D71E09">
      <w:rPr>
        <w:rFonts w:ascii="Times New Roman" w:hAnsi="Times New Roman" w:cs="Times New Roman"/>
        <w:color w:val="0070C0"/>
        <w:sz w:val="28"/>
      </w:rPr>
      <w:t>ANNUAL BUSINESS RESPONSIBILITY &amp; OECD COMPLIANCE REPORT FOR THE YEAR 202</w:t>
    </w:r>
    <w:r w:rsidR="00D421B4">
      <w:rPr>
        <w:rFonts w:ascii="Times New Roman" w:hAnsi="Times New Roman" w:cs="Times New Roman"/>
        <w:color w:val="0070C0"/>
        <w:sz w:val="28"/>
      </w:rPr>
      <w:t>4-25</w:t>
    </w:r>
  </w:p>
  <w:p w14:paraId="714CDCA6" w14:textId="271D1D4A" w:rsidR="00E0173C" w:rsidRPr="00D71E09" w:rsidRDefault="00D71E09" w:rsidP="00D71E09">
    <w:pPr>
      <w:pStyle w:val="Header"/>
      <w:ind w:left="-250"/>
      <w:jc w:val="right"/>
      <w:rPr>
        <w:rFonts w:ascii="Times New Roman" w:hAnsi="Times New Roman" w:cs="Times New Roman"/>
        <w:color w:val="0070C0"/>
        <w:szCs w:val="18"/>
      </w:rPr>
    </w:pPr>
    <w:r w:rsidRPr="00D71E09">
      <w:rPr>
        <w:rFonts w:ascii="Times New Roman" w:hAnsi="Times New Roman" w:cs="Times New Roman"/>
        <w:color w:val="0070C0"/>
        <w:sz w:val="28"/>
      </w:rPr>
      <w:t xml:space="preserve">Date : </w:t>
    </w:r>
    <w:r w:rsidR="0024766A">
      <w:rPr>
        <w:rFonts w:ascii="Times New Roman" w:hAnsi="Times New Roman" w:cs="Times New Roman"/>
        <w:color w:val="0070C0"/>
        <w:szCs w:val="18"/>
      </w:rPr>
      <w:t>22</w:t>
    </w:r>
    <w:r w:rsidR="0024766A" w:rsidRPr="0024766A">
      <w:rPr>
        <w:rFonts w:ascii="Times New Roman" w:hAnsi="Times New Roman" w:cs="Times New Roman"/>
        <w:color w:val="0070C0"/>
        <w:szCs w:val="18"/>
        <w:vertAlign w:val="superscript"/>
      </w:rPr>
      <w:t>nd</w:t>
    </w:r>
    <w:r w:rsidR="0024766A">
      <w:rPr>
        <w:rFonts w:ascii="Times New Roman" w:hAnsi="Times New Roman" w:cs="Times New Roman"/>
        <w:color w:val="0070C0"/>
        <w:szCs w:val="18"/>
      </w:rPr>
      <w:t xml:space="preserve"> </w:t>
    </w:r>
    <w:r w:rsidR="006503D8">
      <w:rPr>
        <w:rFonts w:ascii="Times New Roman" w:hAnsi="Times New Roman" w:cs="Times New Roman"/>
        <w:color w:val="0070C0"/>
        <w:szCs w:val="18"/>
      </w:rPr>
      <w:t>August</w:t>
    </w:r>
    <w:r w:rsidRPr="00D71E09">
      <w:rPr>
        <w:rFonts w:ascii="Times New Roman" w:hAnsi="Times New Roman" w:cs="Times New Roman"/>
        <w:color w:val="0070C0"/>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4E"/>
    <w:multiLevelType w:val="hybridMultilevel"/>
    <w:tmpl w:val="3F8A1158"/>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92319"/>
    <w:multiLevelType w:val="hybridMultilevel"/>
    <w:tmpl w:val="3E280618"/>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A25CFB"/>
    <w:multiLevelType w:val="hybridMultilevel"/>
    <w:tmpl w:val="B6FC63A4"/>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226CF8"/>
    <w:multiLevelType w:val="hybridMultilevel"/>
    <w:tmpl w:val="E82442BC"/>
    <w:lvl w:ilvl="0" w:tplc="EEC0BE12">
      <w:start w:val="1"/>
      <w:numFmt w:val="bullet"/>
      <w:lvlText w:val=""/>
      <w:lvlJc w:val="left"/>
      <w:pPr>
        <w:tabs>
          <w:tab w:val="num" w:pos="1080"/>
        </w:tabs>
        <w:ind w:left="1080" w:hanging="360"/>
      </w:pPr>
      <w:rPr>
        <w:rFonts w:ascii="Wingdings" w:hAnsi="Wingdings" w:hint="default"/>
        <w:b w:val="0"/>
        <w:i w:val="0"/>
        <w:color w:val="auto"/>
        <w:sz w:val="22"/>
      </w:rPr>
    </w:lvl>
    <w:lvl w:ilvl="1" w:tplc="B67C3DFA">
      <w:start w:val="1"/>
      <w:numFmt w:val="lowerLetter"/>
      <w:lvlText w:val="%2."/>
      <w:lvlJc w:val="left"/>
      <w:pPr>
        <w:tabs>
          <w:tab w:val="num" w:pos="3960"/>
        </w:tabs>
        <w:ind w:left="3960" w:hanging="2880"/>
      </w:pPr>
      <w:rPr>
        <w:rFonts w:ascii="Arial" w:hAnsi="Arial" w:hint="default"/>
        <w:b w:val="0"/>
        <w:i w:val="0"/>
        <w:sz w:val="22"/>
      </w:rPr>
    </w:lvl>
    <w:lvl w:ilvl="2" w:tplc="7DDE4A4C">
      <w:start w:val="17"/>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275EC"/>
    <w:multiLevelType w:val="hybridMultilevel"/>
    <w:tmpl w:val="3DAE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2A4786"/>
    <w:multiLevelType w:val="hybridMultilevel"/>
    <w:tmpl w:val="681C5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6A3441"/>
    <w:multiLevelType w:val="hybridMultilevel"/>
    <w:tmpl w:val="8E12C24A"/>
    <w:lvl w:ilvl="0" w:tplc="70200144">
      <w:start w:val="15"/>
      <w:numFmt w:val="decimal"/>
      <w:lvlText w:val="%1."/>
      <w:lvlJc w:val="left"/>
      <w:pPr>
        <w:tabs>
          <w:tab w:val="num" w:pos="725"/>
        </w:tabs>
        <w:ind w:left="725" w:hanging="495"/>
      </w:pPr>
      <w:rPr>
        <w:rFonts w:hint="default"/>
      </w:rPr>
    </w:lvl>
    <w:lvl w:ilvl="1" w:tplc="04090009">
      <w:start w:val="1"/>
      <w:numFmt w:val="bullet"/>
      <w:lvlText w:val=""/>
      <w:lvlJc w:val="left"/>
      <w:pPr>
        <w:tabs>
          <w:tab w:val="num" w:pos="1310"/>
        </w:tabs>
        <w:ind w:left="1310" w:hanging="360"/>
      </w:pPr>
      <w:rPr>
        <w:rFonts w:ascii="Wingdings" w:hAnsi="Wingdings" w:hint="default"/>
      </w:rPr>
    </w:lvl>
    <w:lvl w:ilvl="2" w:tplc="0409001B" w:tentative="1">
      <w:start w:val="1"/>
      <w:numFmt w:val="lowerRoman"/>
      <w:lvlText w:val="%3."/>
      <w:lvlJc w:val="right"/>
      <w:pPr>
        <w:tabs>
          <w:tab w:val="num" w:pos="2030"/>
        </w:tabs>
        <w:ind w:left="2030" w:hanging="180"/>
      </w:pPr>
    </w:lvl>
    <w:lvl w:ilvl="3" w:tplc="0409000F" w:tentative="1">
      <w:start w:val="1"/>
      <w:numFmt w:val="decimal"/>
      <w:lvlText w:val="%4."/>
      <w:lvlJc w:val="left"/>
      <w:pPr>
        <w:tabs>
          <w:tab w:val="num" w:pos="2750"/>
        </w:tabs>
        <w:ind w:left="2750" w:hanging="360"/>
      </w:pPr>
    </w:lvl>
    <w:lvl w:ilvl="4" w:tplc="04090019" w:tentative="1">
      <w:start w:val="1"/>
      <w:numFmt w:val="lowerLetter"/>
      <w:lvlText w:val="%5."/>
      <w:lvlJc w:val="left"/>
      <w:pPr>
        <w:tabs>
          <w:tab w:val="num" w:pos="3470"/>
        </w:tabs>
        <w:ind w:left="3470" w:hanging="360"/>
      </w:pPr>
    </w:lvl>
    <w:lvl w:ilvl="5" w:tplc="0409001B" w:tentative="1">
      <w:start w:val="1"/>
      <w:numFmt w:val="lowerRoman"/>
      <w:lvlText w:val="%6."/>
      <w:lvlJc w:val="right"/>
      <w:pPr>
        <w:tabs>
          <w:tab w:val="num" w:pos="4190"/>
        </w:tabs>
        <w:ind w:left="4190" w:hanging="180"/>
      </w:pPr>
    </w:lvl>
    <w:lvl w:ilvl="6" w:tplc="0409000F" w:tentative="1">
      <w:start w:val="1"/>
      <w:numFmt w:val="decimal"/>
      <w:lvlText w:val="%7."/>
      <w:lvlJc w:val="left"/>
      <w:pPr>
        <w:tabs>
          <w:tab w:val="num" w:pos="4910"/>
        </w:tabs>
        <w:ind w:left="4910" w:hanging="360"/>
      </w:pPr>
    </w:lvl>
    <w:lvl w:ilvl="7" w:tplc="04090019" w:tentative="1">
      <w:start w:val="1"/>
      <w:numFmt w:val="lowerLetter"/>
      <w:lvlText w:val="%8."/>
      <w:lvlJc w:val="left"/>
      <w:pPr>
        <w:tabs>
          <w:tab w:val="num" w:pos="5630"/>
        </w:tabs>
        <w:ind w:left="5630" w:hanging="360"/>
      </w:pPr>
    </w:lvl>
    <w:lvl w:ilvl="8" w:tplc="0409001B" w:tentative="1">
      <w:start w:val="1"/>
      <w:numFmt w:val="lowerRoman"/>
      <w:lvlText w:val="%9."/>
      <w:lvlJc w:val="right"/>
      <w:pPr>
        <w:tabs>
          <w:tab w:val="num" w:pos="6350"/>
        </w:tabs>
        <w:ind w:left="6350" w:hanging="180"/>
      </w:pPr>
    </w:lvl>
  </w:abstractNum>
  <w:abstractNum w:abstractNumId="7" w15:restartNumberingAfterBreak="0">
    <w:nsid w:val="2272345A"/>
    <w:multiLevelType w:val="hybridMultilevel"/>
    <w:tmpl w:val="45FAF76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92B23"/>
    <w:multiLevelType w:val="hybridMultilevel"/>
    <w:tmpl w:val="1004A900"/>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FD0CEF"/>
    <w:multiLevelType w:val="hybridMultilevel"/>
    <w:tmpl w:val="E09A10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01E1C44"/>
    <w:multiLevelType w:val="hybridMultilevel"/>
    <w:tmpl w:val="4964DF9C"/>
    <w:lvl w:ilvl="0" w:tplc="B67C3DFA">
      <w:start w:val="1"/>
      <w:numFmt w:val="lowerLetter"/>
      <w:lvlText w:val="%1."/>
      <w:lvlJc w:val="left"/>
      <w:pPr>
        <w:tabs>
          <w:tab w:val="num" w:pos="3960"/>
        </w:tabs>
        <w:ind w:left="3960" w:hanging="288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BA7CEC"/>
    <w:multiLevelType w:val="multilevel"/>
    <w:tmpl w:val="D03E9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C03704"/>
    <w:multiLevelType w:val="hybridMultilevel"/>
    <w:tmpl w:val="8A22BDE4"/>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03842C0"/>
    <w:multiLevelType w:val="hybridMultilevel"/>
    <w:tmpl w:val="14EC1F6C"/>
    <w:lvl w:ilvl="0" w:tplc="B67C3DFA">
      <w:start w:val="1"/>
      <w:numFmt w:val="lowerLetter"/>
      <w:lvlText w:val="%1."/>
      <w:lvlJc w:val="left"/>
      <w:pPr>
        <w:tabs>
          <w:tab w:val="num" w:pos="4680"/>
        </w:tabs>
        <w:ind w:left="4680" w:hanging="2880"/>
      </w:pPr>
      <w:rPr>
        <w:rFonts w:ascii="Arial" w:hAnsi="Arial"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552F2E5A"/>
    <w:multiLevelType w:val="hybridMultilevel"/>
    <w:tmpl w:val="6A80390A"/>
    <w:lvl w:ilvl="0" w:tplc="2EEEA946">
      <w:start w:val="1"/>
      <w:numFmt w:val="bullet"/>
      <w:lvlText w:val=""/>
      <w:lvlJc w:val="left"/>
      <w:pPr>
        <w:tabs>
          <w:tab w:val="num" w:pos="840"/>
        </w:tabs>
        <w:ind w:left="840" w:hanging="360"/>
      </w:pPr>
      <w:rPr>
        <w:rFonts w:ascii="Symbol" w:hAnsi="Symbol" w:hint="default"/>
        <w:sz w:val="20"/>
      </w:rPr>
    </w:lvl>
    <w:lvl w:ilvl="1" w:tplc="B67C3DFA">
      <w:start w:val="1"/>
      <w:numFmt w:val="lowerLetter"/>
      <w:lvlText w:val="%2."/>
      <w:lvlJc w:val="left"/>
      <w:pPr>
        <w:tabs>
          <w:tab w:val="num" w:pos="4080"/>
        </w:tabs>
        <w:ind w:left="4080" w:hanging="2880"/>
      </w:pPr>
      <w:rPr>
        <w:rFonts w:ascii="Arial" w:hAnsi="Arial" w:hint="default"/>
        <w:b w:val="0"/>
        <w:i w:val="0"/>
        <w:sz w:val="22"/>
      </w:rPr>
    </w:lvl>
    <w:lvl w:ilvl="2" w:tplc="8E746660">
      <w:start w:val="16"/>
      <w:numFmt w:val="decimal"/>
      <w:lvlText w:val="%3."/>
      <w:lvlJc w:val="left"/>
      <w:pPr>
        <w:tabs>
          <w:tab w:val="num" w:pos="2280"/>
        </w:tabs>
        <w:ind w:left="2280" w:hanging="360"/>
      </w:pPr>
      <w:rPr>
        <w:rFonts w:hint="default"/>
      </w:rPr>
    </w:lvl>
    <w:lvl w:ilvl="3" w:tplc="1F9600B6" w:tentative="1">
      <w:start w:val="1"/>
      <w:numFmt w:val="bullet"/>
      <w:lvlText w:val=""/>
      <w:lvlJc w:val="left"/>
      <w:pPr>
        <w:tabs>
          <w:tab w:val="num" w:pos="3000"/>
        </w:tabs>
        <w:ind w:left="3000" w:hanging="360"/>
      </w:pPr>
      <w:rPr>
        <w:rFonts w:ascii="Wingdings" w:hAnsi="Wingdings" w:hint="default"/>
        <w:sz w:val="20"/>
      </w:rPr>
    </w:lvl>
    <w:lvl w:ilvl="4" w:tplc="BC1865FC" w:tentative="1">
      <w:start w:val="1"/>
      <w:numFmt w:val="bullet"/>
      <w:lvlText w:val=""/>
      <w:lvlJc w:val="left"/>
      <w:pPr>
        <w:tabs>
          <w:tab w:val="num" w:pos="3720"/>
        </w:tabs>
        <w:ind w:left="3720" w:hanging="360"/>
      </w:pPr>
      <w:rPr>
        <w:rFonts w:ascii="Wingdings" w:hAnsi="Wingdings" w:hint="default"/>
        <w:sz w:val="20"/>
      </w:rPr>
    </w:lvl>
    <w:lvl w:ilvl="5" w:tplc="D58CFD96" w:tentative="1">
      <w:start w:val="1"/>
      <w:numFmt w:val="bullet"/>
      <w:lvlText w:val=""/>
      <w:lvlJc w:val="left"/>
      <w:pPr>
        <w:tabs>
          <w:tab w:val="num" w:pos="4440"/>
        </w:tabs>
        <w:ind w:left="4440" w:hanging="360"/>
      </w:pPr>
      <w:rPr>
        <w:rFonts w:ascii="Wingdings" w:hAnsi="Wingdings" w:hint="default"/>
        <w:sz w:val="20"/>
      </w:rPr>
    </w:lvl>
    <w:lvl w:ilvl="6" w:tplc="298C2E00" w:tentative="1">
      <w:start w:val="1"/>
      <w:numFmt w:val="bullet"/>
      <w:lvlText w:val=""/>
      <w:lvlJc w:val="left"/>
      <w:pPr>
        <w:tabs>
          <w:tab w:val="num" w:pos="5160"/>
        </w:tabs>
        <w:ind w:left="5160" w:hanging="360"/>
      </w:pPr>
      <w:rPr>
        <w:rFonts w:ascii="Wingdings" w:hAnsi="Wingdings" w:hint="default"/>
        <w:sz w:val="20"/>
      </w:rPr>
    </w:lvl>
    <w:lvl w:ilvl="7" w:tplc="1CA2ECBA" w:tentative="1">
      <w:start w:val="1"/>
      <w:numFmt w:val="bullet"/>
      <w:lvlText w:val=""/>
      <w:lvlJc w:val="left"/>
      <w:pPr>
        <w:tabs>
          <w:tab w:val="num" w:pos="5880"/>
        </w:tabs>
        <w:ind w:left="5880" w:hanging="360"/>
      </w:pPr>
      <w:rPr>
        <w:rFonts w:ascii="Wingdings" w:hAnsi="Wingdings" w:hint="default"/>
        <w:sz w:val="20"/>
      </w:rPr>
    </w:lvl>
    <w:lvl w:ilvl="8" w:tplc="248C7DAA" w:tentative="1">
      <w:start w:val="1"/>
      <w:numFmt w:val="bullet"/>
      <w:lvlText w:val=""/>
      <w:lvlJc w:val="left"/>
      <w:pPr>
        <w:tabs>
          <w:tab w:val="num" w:pos="6600"/>
        </w:tabs>
        <w:ind w:left="6600" w:hanging="360"/>
      </w:pPr>
      <w:rPr>
        <w:rFonts w:ascii="Wingdings" w:hAnsi="Wingdings" w:hint="default"/>
        <w:sz w:val="20"/>
      </w:rPr>
    </w:lvl>
  </w:abstractNum>
  <w:abstractNum w:abstractNumId="15" w15:restartNumberingAfterBreak="0">
    <w:nsid w:val="57B03EA1"/>
    <w:multiLevelType w:val="hybridMultilevel"/>
    <w:tmpl w:val="1A7ECBE4"/>
    <w:lvl w:ilvl="0" w:tplc="B67C3DFA">
      <w:start w:val="1"/>
      <w:numFmt w:val="lowerLetter"/>
      <w:lvlText w:val="%1."/>
      <w:lvlJc w:val="left"/>
      <w:pPr>
        <w:tabs>
          <w:tab w:val="num" w:pos="3960"/>
        </w:tabs>
        <w:ind w:left="3960" w:hanging="2880"/>
      </w:pPr>
      <w:rPr>
        <w:rFonts w:ascii="Arial" w:hAnsi="Arial" w:hint="default"/>
        <w:b w:val="0"/>
        <w:i w:val="0"/>
        <w:sz w:val="22"/>
      </w:rPr>
    </w:lvl>
    <w:lvl w:ilvl="1" w:tplc="77D0E77C">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E1425E"/>
    <w:multiLevelType w:val="hybridMultilevel"/>
    <w:tmpl w:val="180497AE"/>
    <w:lvl w:ilvl="0" w:tplc="4009000D">
      <w:start w:val="1"/>
      <w:numFmt w:val="bullet"/>
      <w:lvlText w:val=""/>
      <w:lvlJc w:val="left"/>
      <w:pPr>
        <w:ind w:left="720" w:hanging="360"/>
      </w:pPr>
      <w:rPr>
        <w:rFonts w:ascii="Wingdings" w:hAnsi="Wingdings" w:hint="default"/>
        <w:b w:val="0"/>
        <w:color w:val="222222"/>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0A11F7"/>
    <w:multiLevelType w:val="hybridMultilevel"/>
    <w:tmpl w:val="C0DC4E6E"/>
    <w:lvl w:ilvl="0" w:tplc="B67C3DFA">
      <w:start w:val="1"/>
      <w:numFmt w:val="lowerLetter"/>
      <w:lvlText w:val="%1."/>
      <w:lvlJc w:val="left"/>
      <w:pPr>
        <w:tabs>
          <w:tab w:val="num" w:pos="2880"/>
        </w:tabs>
        <w:ind w:left="2880" w:hanging="2880"/>
      </w:pPr>
      <w:rPr>
        <w:rFonts w:ascii="Arial" w:hAnsi="Arial" w:hint="default"/>
        <w:b w:val="0"/>
        <w:i w:val="0"/>
        <w:sz w:val="22"/>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7A00194E"/>
    <w:multiLevelType w:val="hybridMultilevel"/>
    <w:tmpl w:val="B8DA3CD0"/>
    <w:lvl w:ilvl="0" w:tplc="EEC0BE12">
      <w:start w:val="1"/>
      <w:numFmt w:val="bullet"/>
      <w:lvlText w:val=""/>
      <w:lvlJc w:val="left"/>
      <w:pPr>
        <w:tabs>
          <w:tab w:val="num" w:pos="1800"/>
        </w:tabs>
        <w:ind w:left="1800" w:hanging="360"/>
      </w:pPr>
      <w:rPr>
        <w:rFonts w:ascii="Wingdings" w:hAnsi="Wingdings" w:hint="default"/>
        <w:b w:val="0"/>
        <w:i w:val="0"/>
        <w:color w:val="auto"/>
        <w:sz w:val="22"/>
      </w:rPr>
    </w:lvl>
    <w:lvl w:ilvl="1" w:tplc="B67C3DFA">
      <w:start w:val="1"/>
      <w:numFmt w:val="lowerLetter"/>
      <w:lvlText w:val="%2."/>
      <w:lvlJc w:val="left"/>
      <w:pPr>
        <w:tabs>
          <w:tab w:val="num" w:pos="4680"/>
        </w:tabs>
        <w:ind w:left="4680" w:hanging="2880"/>
      </w:pPr>
      <w:rPr>
        <w:rFonts w:ascii="Arial" w:hAnsi="Arial" w:hint="default"/>
        <w:b w:val="0"/>
        <w:i w:val="0"/>
        <w:sz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04653843">
    <w:abstractNumId w:val="14"/>
  </w:num>
  <w:num w:numId="2" w16cid:durableId="455608528">
    <w:abstractNumId w:val="12"/>
  </w:num>
  <w:num w:numId="3" w16cid:durableId="249968075">
    <w:abstractNumId w:val="18"/>
  </w:num>
  <w:num w:numId="4" w16cid:durableId="694575383">
    <w:abstractNumId w:val="3"/>
  </w:num>
  <w:num w:numId="5" w16cid:durableId="1022247037">
    <w:abstractNumId w:val="2"/>
  </w:num>
  <w:num w:numId="6" w16cid:durableId="2058968390">
    <w:abstractNumId w:val="8"/>
  </w:num>
  <w:num w:numId="7" w16cid:durableId="1374230958">
    <w:abstractNumId w:val="1"/>
  </w:num>
  <w:num w:numId="8" w16cid:durableId="243026966">
    <w:abstractNumId w:val="17"/>
  </w:num>
  <w:num w:numId="9" w16cid:durableId="99379127">
    <w:abstractNumId w:val="10"/>
  </w:num>
  <w:num w:numId="10" w16cid:durableId="682702926">
    <w:abstractNumId w:val="0"/>
  </w:num>
  <w:num w:numId="11" w16cid:durableId="899365904">
    <w:abstractNumId w:val="15"/>
  </w:num>
  <w:num w:numId="12" w16cid:durableId="271086069">
    <w:abstractNumId w:val="13"/>
  </w:num>
  <w:num w:numId="13" w16cid:durableId="245724409">
    <w:abstractNumId w:val="7"/>
  </w:num>
  <w:num w:numId="14" w16cid:durableId="754672360">
    <w:abstractNumId w:val="6"/>
  </w:num>
  <w:num w:numId="15" w16cid:durableId="688608591">
    <w:abstractNumId w:val="11"/>
  </w:num>
  <w:num w:numId="16" w16cid:durableId="933511933">
    <w:abstractNumId w:val="4"/>
  </w:num>
  <w:num w:numId="17" w16cid:durableId="815293773">
    <w:abstractNumId w:val="9"/>
  </w:num>
  <w:num w:numId="18" w16cid:durableId="1665931075">
    <w:abstractNumId w:val="5"/>
  </w:num>
  <w:num w:numId="19" w16cid:durableId="13938912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3C"/>
    <w:rsid w:val="0000501B"/>
    <w:rsid w:val="000074AE"/>
    <w:rsid w:val="00010AC1"/>
    <w:rsid w:val="0002319E"/>
    <w:rsid w:val="000530BA"/>
    <w:rsid w:val="00055868"/>
    <w:rsid w:val="00055BA3"/>
    <w:rsid w:val="0006105A"/>
    <w:rsid w:val="0006728B"/>
    <w:rsid w:val="000751C8"/>
    <w:rsid w:val="000809DF"/>
    <w:rsid w:val="00085727"/>
    <w:rsid w:val="000945C5"/>
    <w:rsid w:val="000A0FBB"/>
    <w:rsid w:val="000A571F"/>
    <w:rsid w:val="000A5825"/>
    <w:rsid w:val="000B02B1"/>
    <w:rsid w:val="000E3EDC"/>
    <w:rsid w:val="000E7517"/>
    <w:rsid w:val="00122012"/>
    <w:rsid w:val="00125DED"/>
    <w:rsid w:val="001367D0"/>
    <w:rsid w:val="001472E1"/>
    <w:rsid w:val="001662AD"/>
    <w:rsid w:val="00167852"/>
    <w:rsid w:val="00167EF2"/>
    <w:rsid w:val="00175FE4"/>
    <w:rsid w:val="00195651"/>
    <w:rsid w:val="001A29C0"/>
    <w:rsid w:val="001A41CB"/>
    <w:rsid w:val="001A6FD0"/>
    <w:rsid w:val="001B510B"/>
    <w:rsid w:val="001C3D4C"/>
    <w:rsid w:val="001D10A0"/>
    <w:rsid w:val="001D3CC2"/>
    <w:rsid w:val="001D46DD"/>
    <w:rsid w:val="001E68EA"/>
    <w:rsid w:val="001F3923"/>
    <w:rsid w:val="00202924"/>
    <w:rsid w:val="00203F37"/>
    <w:rsid w:val="00211163"/>
    <w:rsid w:val="00217701"/>
    <w:rsid w:val="00242F34"/>
    <w:rsid w:val="0024766A"/>
    <w:rsid w:val="00250DE2"/>
    <w:rsid w:val="00256F0E"/>
    <w:rsid w:val="00260F96"/>
    <w:rsid w:val="00284193"/>
    <w:rsid w:val="002A3DE5"/>
    <w:rsid w:val="002B55E5"/>
    <w:rsid w:val="002D41E9"/>
    <w:rsid w:val="002E5513"/>
    <w:rsid w:val="002E6CFF"/>
    <w:rsid w:val="002F0CF9"/>
    <w:rsid w:val="003067B4"/>
    <w:rsid w:val="00312A3B"/>
    <w:rsid w:val="00312BFE"/>
    <w:rsid w:val="0031317A"/>
    <w:rsid w:val="00315A47"/>
    <w:rsid w:val="0033711C"/>
    <w:rsid w:val="00351C54"/>
    <w:rsid w:val="00360961"/>
    <w:rsid w:val="00374AB8"/>
    <w:rsid w:val="0037530E"/>
    <w:rsid w:val="0038252F"/>
    <w:rsid w:val="0038455A"/>
    <w:rsid w:val="00387AA0"/>
    <w:rsid w:val="00397DAD"/>
    <w:rsid w:val="003A448B"/>
    <w:rsid w:val="003D3484"/>
    <w:rsid w:val="00401730"/>
    <w:rsid w:val="00402FFE"/>
    <w:rsid w:val="00411078"/>
    <w:rsid w:val="00454F3C"/>
    <w:rsid w:val="00467C1E"/>
    <w:rsid w:val="004835AB"/>
    <w:rsid w:val="00486284"/>
    <w:rsid w:val="00491BA7"/>
    <w:rsid w:val="00497B08"/>
    <w:rsid w:val="004A2A50"/>
    <w:rsid w:val="004A53B2"/>
    <w:rsid w:val="004B3642"/>
    <w:rsid w:val="004B40F0"/>
    <w:rsid w:val="004D3915"/>
    <w:rsid w:val="004E3762"/>
    <w:rsid w:val="005415FD"/>
    <w:rsid w:val="00555509"/>
    <w:rsid w:val="005628D4"/>
    <w:rsid w:val="0059294E"/>
    <w:rsid w:val="005B031F"/>
    <w:rsid w:val="005B3D60"/>
    <w:rsid w:val="005D628E"/>
    <w:rsid w:val="005E1ADE"/>
    <w:rsid w:val="005E7994"/>
    <w:rsid w:val="005F50B4"/>
    <w:rsid w:val="006037B5"/>
    <w:rsid w:val="00605F83"/>
    <w:rsid w:val="0063721D"/>
    <w:rsid w:val="006456BB"/>
    <w:rsid w:val="006503D8"/>
    <w:rsid w:val="00671A39"/>
    <w:rsid w:val="006732A7"/>
    <w:rsid w:val="0067331B"/>
    <w:rsid w:val="00674D3B"/>
    <w:rsid w:val="0069248C"/>
    <w:rsid w:val="00692A27"/>
    <w:rsid w:val="00697C14"/>
    <w:rsid w:val="006A36F8"/>
    <w:rsid w:val="006A43E4"/>
    <w:rsid w:val="006D4919"/>
    <w:rsid w:val="006E06CC"/>
    <w:rsid w:val="007123A4"/>
    <w:rsid w:val="00712E81"/>
    <w:rsid w:val="00722BB6"/>
    <w:rsid w:val="00744806"/>
    <w:rsid w:val="00746911"/>
    <w:rsid w:val="007537FD"/>
    <w:rsid w:val="00763D95"/>
    <w:rsid w:val="00770757"/>
    <w:rsid w:val="007754AA"/>
    <w:rsid w:val="00781BA7"/>
    <w:rsid w:val="00786468"/>
    <w:rsid w:val="00795D56"/>
    <w:rsid w:val="007A044A"/>
    <w:rsid w:val="007A6A35"/>
    <w:rsid w:val="007C298C"/>
    <w:rsid w:val="007C5BF4"/>
    <w:rsid w:val="007D1A3F"/>
    <w:rsid w:val="007F5D35"/>
    <w:rsid w:val="00814967"/>
    <w:rsid w:val="0081664F"/>
    <w:rsid w:val="00861C0D"/>
    <w:rsid w:val="008654EE"/>
    <w:rsid w:val="00880A09"/>
    <w:rsid w:val="00883A87"/>
    <w:rsid w:val="008B75B5"/>
    <w:rsid w:val="008C64CF"/>
    <w:rsid w:val="008C67DA"/>
    <w:rsid w:val="008E2D16"/>
    <w:rsid w:val="008E402D"/>
    <w:rsid w:val="00915D9A"/>
    <w:rsid w:val="009205D0"/>
    <w:rsid w:val="00923681"/>
    <w:rsid w:val="00936959"/>
    <w:rsid w:val="00941DB7"/>
    <w:rsid w:val="009A097C"/>
    <w:rsid w:val="009B2503"/>
    <w:rsid w:val="009B339B"/>
    <w:rsid w:val="009C64E3"/>
    <w:rsid w:val="009F3BAE"/>
    <w:rsid w:val="009F7638"/>
    <w:rsid w:val="00A12AC3"/>
    <w:rsid w:val="00A20290"/>
    <w:rsid w:val="00A2180E"/>
    <w:rsid w:val="00A218F4"/>
    <w:rsid w:val="00A33119"/>
    <w:rsid w:val="00A35D91"/>
    <w:rsid w:val="00A57D5B"/>
    <w:rsid w:val="00A7200E"/>
    <w:rsid w:val="00A742A2"/>
    <w:rsid w:val="00A8493E"/>
    <w:rsid w:val="00A96EA8"/>
    <w:rsid w:val="00AB6E64"/>
    <w:rsid w:val="00AC2F7F"/>
    <w:rsid w:val="00AF2E80"/>
    <w:rsid w:val="00AF3C30"/>
    <w:rsid w:val="00B2542D"/>
    <w:rsid w:val="00B27F63"/>
    <w:rsid w:val="00B30BD0"/>
    <w:rsid w:val="00B337CB"/>
    <w:rsid w:val="00B37B8B"/>
    <w:rsid w:val="00B65A3D"/>
    <w:rsid w:val="00B83365"/>
    <w:rsid w:val="00B87E53"/>
    <w:rsid w:val="00B9085D"/>
    <w:rsid w:val="00B96CB7"/>
    <w:rsid w:val="00BC545C"/>
    <w:rsid w:val="00BF7FCD"/>
    <w:rsid w:val="00C11842"/>
    <w:rsid w:val="00C2379E"/>
    <w:rsid w:val="00C36F8D"/>
    <w:rsid w:val="00C46EFC"/>
    <w:rsid w:val="00C65096"/>
    <w:rsid w:val="00C920EF"/>
    <w:rsid w:val="00C95AB2"/>
    <w:rsid w:val="00CA0A27"/>
    <w:rsid w:val="00CB6634"/>
    <w:rsid w:val="00CB718F"/>
    <w:rsid w:val="00CC555E"/>
    <w:rsid w:val="00CD4E0A"/>
    <w:rsid w:val="00CD5E2E"/>
    <w:rsid w:val="00CE1DAE"/>
    <w:rsid w:val="00D215B8"/>
    <w:rsid w:val="00D313AC"/>
    <w:rsid w:val="00D37501"/>
    <w:rsid w:val="00D421B4"/>
    <w:rsid w:val="00D52B06"/>
    <w:rsid w:val="00D66D48"/>
    <w:rsid w:val="00D71E09"/>
    <w:rsid w:val="00D776D0"/>
    <w:rsid w:val="00D86A06"/>
    <w:rsid w:val="00DA304A"/>
    <w:rsid w:val="00DC1F14"/>
    <w:rsid w:val="00E0173C"/>
    <w:rsid w:val="00E12D8A"/>
    <w:rsid w:val="00E41C99"/>
    <w:rsid w:val="00E611F0"/>
    <w:rsid w:val="00E66716"/>
    <w:rsid w:val="00E72CDD"/>
    <w:rsid w:val="00E877A1"/>
    <w:rsid w:val="00EB1E1F"/>
    <w:rsid w:val="00EC36E3"/>
    <w:rsid w:val="00ED427C"/>
    <w:rsid w:val="00EE32AA"/>
    <w:rsid w:val="00EF61B1"/>
    <w:rsid w:val="00F140D0"/>
    <w:rsid w:val="00F628D8"/>
    <w:rsid w:val="00F84032"/>
    <w:rsid w:val="00F87236"/>
    <w:rsid w:val="00FC7044"/>
    <w:rsid w:val="00FF2739"/>
    <w:rsid w:val="00FF5D13"/>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4CDC32"/>
  <w15:docId w15:val="{19E9115F-1777-4316-816D-4911EFC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E4"/>
  </w:style>
  <w:style w:type="paragraph" w:styleId="Heading1">
    <w:name w:val="heading 1"/>
    <w:basedOn w:val="Normal"/>
    <w:next w:val="Normal"/>
    <w:link w:val="Heading1Char"/>
    <w:uiPriority w:val="9"/>
    <w:qFormat/>
    <w:rsid w:val="00B87E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173C"/>
    <w:pPr>
      <w:tabs>
        <w:tab w:val="center" w:pos="4513"/>
        <w:tab w:val="right" w:pos="9026"/>
      </w:tabs>
      <w:spacing w:after="0" w:line="240" w:lineRule="auto"/>
    </w:pPr>
  </w:style>
  <w:style w:type="character" w:customStyle="1" w:styleId="HeaderChar">
    <w:name w:val="Header Char"/>
    <w:basedOn w:val="DefaultParagraphFont"/>
    <w:link w:val="Header"/>
    <w:rsid w:val="00E0173C"/>
  </w:style>
  <w:style w:type="paragraph" w:styleId="Footer">
    <w:name w:val="footer"/>
    <w:basedOn w:val="Normal"/>
    <w:link w:val="FooterChar"/>
    <w:uiPriority w:val="99"/>
    <w:unhideWhenUsed/>
    <w:rsid w:val="00E01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73C"/>
  </w:style>
  <w:style w:type="character" w:styleId="PageNumber">
    <w:name w:val="page number"/>
    <w:basedOn w:val="DefaultParagraphFont"/>
    <w:rsid w:val="00E0173C"/>
  </w:style>
  <w:style w:type="paragraph" w:styleId="BodyTextIndent2">
    <w:name w:val="Body Text Indent 2"/>
    <w:basedOn w:val="Normal"/>
    <w:link w:val="BodyTextIndent2Char"/>
    <w:rsid w:val="00E0173C"/>
    <w:pPr>
      <w:spacing w:after="0" w:line="240" w:lineRule="auto"/>
      <w:ind w:left="144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E0173C"/>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E0173C"/>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0173C"/>
    <w:rPr>
      <w:rFonts w:ascii="Times New Roman" w:eastAsia="Times New Roman" w:hAnsi="Times New Roman" w:cs="Times New Roman"/>
      <w:sz w:val="24"/>
      <w:szCs w:val="24"/>
      <w:lang w:val="en-US"/>
    </w:rPr>
  </w:style>
  <w:style w:type="paragraph" w:styleId="BodyText">
    <w:name w:val="Body Text"/>
    <w:basedOn w:val="Normal"/>
    <w:link w:val="BodyTextChar"/>
    <w:rsid w:val="00E0173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0173C"/>
    <w:rPr>
      <w:rFonts w:ascii="Times New Roman" w:eastAsia="Times New Roman" w:hAnsi="Times New Roman" w:cs="Times New Roman"/>
      <w:sz w:val="24"/>
      <w:szCs w:val="24"/>
      <w:lang w:val="en-US"/>
    </w:rPr>
  </w:style>
  <w:style w:type="paragraph" w:styleId="BodyText2">
    <w:name w:val="Body Text 2"/>
    <w:basedOn w:val="Normal"/>
    <w:link w:val="BodyText2Char"/>
    <w:rsid w:val="00E0173C"/>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E0173C"/>
    <w:rPr>
      <w:rFonts w:ascii="Times New Roman" w:eastAsia="Times New Roman" w:hAnsi="Times New Roman" w:cs="Times New Roman"/>
      <w:sz w:val="24"/>
      <w:szCs w:val="24"/>
      <w:lang w:val="en-US"/>
    </w:rPr>
  </w:style>
  <w:style w:type="character" w:customStyle="1" w:styleId="goohl0">
    <w:name w:val="goohl0"/>
    <w:basedOn w:val="DefaultParagraphFont"/>
    <w:rsid w:val="00E0173C"/>
  </w:style>
  <w:style w:type="character" w:customStyle="1" w:styleId="goohl1">
    <w:name w:val="goohl1"/>
    <w:basedOn w:val="DefaultParagraphFont"/>
    <w:rsid w:val="00E0173C"/>
  </w:style>
  <w:style w:type="paragraph" w:customStyle="1" w:styleId="paragraph">
    <w:name w:val="paragraph"/>
    <w:basedOn w:val="Normal"/>
    <w:rsid w:val="00E0173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E0173C"/>
  </w:style>
  <w:style w:type="character" w:customStyle="1" w:styleId="eop">
    <w:name w:val="eop"/>
    <w:basedOn w:val="DefaultParagraphFont"/>
    <w:rsid w:val="00E0173C"/>
  </w:style>
  <w:style w:type="character" w:customStyle="1" w:styleId="contextualspellingandgrammarerror">
    <w:name w:val="contextualspellingandgrammarerror"/>
    <w:basedOn w:val="DefaultParagraphFont"/>
    <w:rsid w:val="00E0173C"/>
  </w:style>
  <w:style w:type="character" w:customStyle="1" w:styleId="spellingerror">
    <w:name w:val="spellingerror"/>
    <w:basedOn w:val="DefaultParagraphFont"/>
    <w:rsid w:val="00E0173C"/>
  </w:style>
  <w:style w:type="paragraph" w:styleId="BalloonText">
    <w:name w:val="Balloon Text"/>
    <w:basedOn w:val="Normal"/>
    <w:link w:val="BalloonTextChar"/>
    <w:uiPriority w:val="99"/>
    <w:semiHidden/>
    <w:unhideWhenUsed/>
    <w:rsid w:val="00F62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8D8"/>
    <w:rPr>
      <w:rFonts w:ascii="Tahoma" w:hAnsi="Tahoma" w:cs="Tahoma"/>
      <w:sz w:val="16"/>
      <w:szCs w:val="16"/>
    </w:rPr>
  </w:style>
  <w:style w:type="character" w:styleId="Emphasis">
    <w:name w:val="Emphasis"/>
    <w:basedOn w:val="DefaultParagraphFont"/>
    <w:uiPriority w:val="20"/>
    <w:qFormat/>
    <w:rsid w:val="001B510B"/>
    <w:rPr>
      <w:i/>
      <w:iCs/>
    </w:rPr>
  </w:style>
  <w:style w:type="character" w:styleId="Hyperlink">
    <w:name w:val="Hyperlink"/>
    <w:basedOn w:val="DefaultParagraphFont"/>
    <w:uiPriority w:val="99"/>
    <w:unhideWhenUsed/>
    <w:rsid w:val="000E7517"/>
    <w:rPr>
      <w:color w:val="0000FF"/>
      <w:u w:val="single"/>
    </w:rPr>
  </w:style>
  <w:style w:type="character" w:styleId="UnresolvedMention">
    <w:name w:val="Unresolved Mention"/>
    <w:basedOn w:val="DefaultParagraphFont"/>
    <w:uiPriority w:val="99"/>
    <w:semiHidden/>
    <w:unhideWhenUsed/>
    <w:rsid w:val="00125DED"/>
    <w:rPr>
      <w:color w:val="605E5C"/>
      <w:shd w:val="clear" w:color="auto" w:fill="E1DFDD"/>
    </w:rPr>
  </w:style>
  <w:style w:type="character" w:customStyle="1" w:styleId="Heading1Char">
    <w:name w:val="Heading 1 Char"/>
    <w:basedOn w:val="DefaultParagraphFont"/>
    <w:link w:val="Heading1"/>
    <w:uiPriority w:val="9"/>
    <w:rsid w:val="00B87E5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8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E5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8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53042">
      <w:bodyDiv w:val="1"/>
      <w:marLeft w:val="0"/>
      <w:marRight w:val="0"/>
      <w:marTop w:val="0"/>
      <w:marBottom w:val="0"/>
      <w:divBdr>
        <w:top w:val="none" w:sz="0" w:space="0" w:color="auto"/>
        <w:left w:val="none" w:sz="0" w:space="0" w:color="auto"/>
        <w:bottom w:val="none" w:sz="0" w:space="0" w:color="auto"/>
        <w:right w:val="none" w:sz="0" w:space="0" w:color="auto"/>
      </w:divBdr>
    </w:div>
    <w:div w:id="865023648">
      <w:bodyDiv w:val="1"/>
      <w:marLeft w:val="0"/>
      <w:marRight w:val="0"/>
      <w:marTop w:val="0"/>
      <w:marBottom w:val="0"/>
      <w:divBdr>
        <w:top w:val="none" w:sz="0" w:space="0" w:color="auto"/>
        <w:left w:val="none" w:sz="0" w:space="0" w:color="auto"/>
        <w:bottom w:val="none" w:sz="0" w:space="0" w:color="auto"/>
        <w:right w:val="none" w:sz="0" w:space="0" w:color="auto"/>
      </w:divBdr>
      <w:divsChild>
        <w:div w:id="2051881547">
          <w:marLeft w:val="0"/>
          <w:marRight w:val="0"/>
          <w:marTop w:val="0"/>
          <w:marBottom w:val="0"/>
          <w:divBdr>
            <w:top w:val="none" w:sz="0" w:space="0" w:color="auto"/>
            <w:left w:val="none" w:sz="0" w:space="0" w:color="auto"/>
            <w:bottom w:val="none" w:sz="0" w:space="0" w:color="auto"/>
            <w:right w:val="none" w:sz="0" w:space="0" w:color="auto"/>
          </w:divBdr>
        </w:div>
        <w:div w:id="1968854805">
          <w:marLeft w:val="0"/>
          <w:marRight w:val="0"/>
          <w:marTop w:val="0"/>
          <w:marBottom w:val="0"/>
          <w:divBdr>
            <w:top w:val="none" w:sz="0" w:space="0" w:color="auto"/>
            <w:left w:val="none" w:sz="0" w:space="0" w:color="auto"/>
            <w:bottom w:val="none" w:sz="0" w:space="0" w:color="auto"/>
            <w:right w:val="none" w:sz="0" w:space="0" w:color="auto"/>
          </w:divBdr>
        </w:div>
        <w:div w:id="1693532636">
          <w:marLeft w:val="0"/>
          <w:marRight w:val="0"/>
          <w:marTop w:val="0"/>
          <w:marBottom w:val="0"/>
          <w:divBdr>
            <w:top w:val="none" w:sz="0" w:space="0" w:color="auto"/>
            <w:left w:val="none" w:sz="0" w:space="0" w:color="auto"/>
            <w:bottom w:val="none" w:sz="0" w:space="0" w:color="auto"/>
            <w:right w:val="none" w:sz="0" w:space="0" w:color="auto"/>
          </w:divBdr>
        </w:div>
        <w:div w:id="1050570596">
          <w:marLeft w:val="0"/>
          <w:marRight w:val="0"/>
          <w:marTop w:val="0"/>
          <w:marBottom w:val="0"/>
          <w:divBdr>
            <w:top w:val="none" w:sz="0" w:space="0" w:color="auto"/>
            <w:left w:val="none" w:sz="0" w:space="0" w:color="auto"/>
            <w:bottom w:val="none" w:sz="0" w:space="0" w:color="auto"/>
            <w:right w:val="none" w:sz="0" w:space="0" w:color="auto"/>
          </w:divBdr>
        </w:div>
        <w:div w:id="39087895">
          <w:marLeft w:val="0"/>
          <w:marRight w:val="0"/>
          <w:marTop w:val="0"/>
          <w:marBottom w:val="0"/>
          <w:divBdr>
            <w:top w:val="none" w:sz="0" w:space="0" w:color="auto"/>
            <w:left w:val="none" w:sz="0" w:space="0" w:color="auto"/>
            <w:bottom w:val="none" w:sz="0" w:space="0" w:color="auto"/>
            <w:right w:val="none" w:sz="0" w:space="0" w:color="auto"/>
          </w:divBdr>
        </w:div>
        <w:div w:id="1860198487">
          <w:marLeft w:val="0"/>
          <w:marRight w:val="0"/>
          <w:marTop w:val="0"/>
          <w:marBottom w:val="0"/>
          <w:divBdr>
            <w:top w:val="none" w:sz="0" w:space="0" w:color="auto"/>
            <w:left w:val="none" w:sz="0" w:space="0" w:color="auto"/>
            <w:bottom w:val="none" w:sz="0" w:space="0" w:color="auto"/>
            <w:right w:val="none" w:sz="0" w:space="0" w:color="auto"/>
          </w:divBdr>
        </w:div>
        <w:div w:id="49693257">
          <w:marLeft w:val="0"/>
          <w:marRight w:val="0"/>
          <w:marTop w:val="0"/>
          <w:marBottom w:val="0"/>
          <w:divBdr>
            <w:top w:val="none" w:sz="0" w:space="0" w:color="auto"/>
            <w:left w:val="none" w:sz="0" w:space="0" w:color="auto"/>
            <w:bottom w:val="none" w:sz="0" w:space="0" w:color="auto"/>
            <w:right w:val="none" w:sz="0" w:space="0" w:color="auto"/>
          </w:divBdr>
        </w:div>
        <w:div w:id="242036917">
          <w:marLeft w:val="0"/>
          <w:marRight w:val="0"/>
          <w:marTop w:val="0"/>
          <w:marBottom w:val="0"/>
          <w:divBdr>
            <w:top w:val="none" w:sz="0" w:space="0" w:color="auto"/>
            <w:left w:val="none" w:sz="0" w:space="0" w:color="auto"/>
            <w:bottom w:val="none" w:sz="0" w:space="0" w:color="auto"/>
            <w:right w:val="none" w:sz="0" w:space="0" w:color="auto"/>
          </w:divBdr>
        </w:div>
        <w:div w:id="704645001">
          <w:marLeft w:val="0"/>
          <w:marRight w:val="0"/>
          <w:marTop w:val="0"/>
          <w:marBottom w:val="0"/>
          <w:divBdr>
            <w:top w:val="none" w:sz="0" w:space="0" w:color="auto"/>
            <w:left w:val="none" w:sz="0" w:space="0" w:color="auto"/>
            <w:bottom w:val="none" w:sz="0" w:space="0" w:color="auto"/>
            <w:right w:val="none" w:sz="0" w:space="0" w:color="auto"/>
          </w:divBdr>
        </w:div>
        <w:div w:id="209877359">
          <w:marLeft w:val="0"/>
          <w:marRight w:val="0"/>
          <w:marTop w:val="0"/>
          <w:marBottom w:val="0"/>
          <w:divBdr>
            <w:top w:val="none" w:sz="0" w:space="0" w:color="auto"/>
            <w:left w:val="none" w:sz="0" w:space="0" w:color="auto"/>
            <w:bottom w:val="none" w:sz="0" w:space="0" w:color="auto"/>
            <w:right w:val="none" w:sz="0" w:space="0" w:color="auto"/>
          </w:divBdr>
        </w:div>
        <w:div w:id="976376089">
          <w:marLeft w:val="0"/>
          <w:marRight w:val="0"/>
          <w:marTop w:val="0"/>
          <w:marBottom w:val="0"/>
          <w:divBdr>
            <w:top w:val="none" w:sz="0" w:space="0" w:color="auto"/>
            <w:left w:val="none" w:sz="0" w:space="0" w:color="auto"/>
            <w:bottom w:val="none" w:sz="0" w:space="0" w:color="auto"/>
            <w:right w:val="none" w:sz="0" w:space="0" w:color="auto"/>
          </w:divBdr>
        </w:div>
        <w:div w:id="1091002078">
          <w:marLeft w:val="0"/>
          <w:marRight w:val="0"/>
          <w:marTop w:val="0"/>
          <w:marBottom w:val="0"/>
          <w:divBdr>
            <w:top w:val="none" w:sz="0" w:space="0" w:color="auto"/>
            <w:left w:val="none" w:sz="0" w:space="0" w:color="auto"/>
            <w:bottom w:val="none" w:sz="0" w:space="0" w:color="auto"/>
            <w:right w:val="none" w:sz="0" w:space="0" w:color="auto"/>
          </w:divBdr>
        </w:div>
        <w:div w:id="279992171">
          <w:marLeft w:val="0"/>
          <w:marRight w:val="0"/>
          <w:marTop w:val="0"/>
          <w:marBottom w:val="0"/>
          <w:divBdr>
            <w:top w:val="none" w:sz="0" w:space="0" w:color="auto"/>
            <w:left w:val="none" w:sz="0" w:space="0" w:color="auto"/>
            <w:bottom w:val="none" w:sz="0" w:space="0" w:color="auto"/>
            <w:right w:val="none" w:sz="0" w:space="0" w:color="auto"/>
          </w:divBdr>
        </w:div>
      </w:divsChild>
    </w:div>
    <w:div w:id="920913364">
      <w:bodyDiv w:val="1"/>
      <w:marLeft w:val="0"/>
      <w:marRight w:val="0"/>
      <w:marTop w:val="0"/>
      <w:marBottom w:val="0"/>
      <w:divBdr>
        <w:top w:val="none" w:sz="0" w:space="0" w:color="auto"/>
        <w:left w:val="none" w:sz="0" w:space="0" w:color="auto"/>
        <w:bottom w:val="none" w:sz="0" w:space="0" w:color="auto"/>
        <w:right w:val="none" w:sz="0" w:space="0" w:color="auto"/>
      </w:divBdr>
    </w:div>
    <w:div w:id="1474062667">
      <w:bodyDiv w:val="1"/>
      <w:marLeft w:val="0"/>
      <w:marRight w:val="0"/>
      <w:marTop w:val="0"/>
      <w:marBottom w:val="0"/>
      <w:divBdr>
        <w:top w:val="none" w:sz="0" w:space="0" w:color="auto"/>
        <w:left w:val="none" w:sz="0" w:space="0" w:color="auto"/>
        <w:bottom w:val="none" w:sz="0" w:space="0" w:color="auto"/>
        <w:right w:val="none" w:sz="0" w:space="0" w:color="auto"/>
      </w:divBdr>
    </w:div>
    <w:div w:id="15159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KAILASH PATIL</dc:creator>
  <cp:lastModifiedBy>PADMAKALA MANAGEMENT SERVICES LLP MUMBAI</cp:lastModifiedBy>
  <cp:revision>63</cp:revision>
  <dcterms:created xsi:type="dcterms:W3CDTF">2024-07-20T05:29:00Z</dcterms:created>
  <dcterms:modified xsi:type="dcterms:W3CDTF">2025-08-22T10:32:00Z</dcterms:modified>
</cp:coreProperties>
</file>